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9" w:lineRule="atLeast"/>
        <w:jc w:val="center"/>
        <w:rPr>
          <w:rFonts w:hint="eastAsia" w:ascii="方正小标宋简体" w:hAnsi="宋体" w:eastAsia="方正小标宋简体" w:cs="宋体"/>
          <w:kern w:val="0"/>
          <w:sz w:val="36"/>
          <w:szCs w:val="36"/>
          <w:lang w:eastAsia="zh-CN"/>
        </w:rPr>
      </w:pPr>
      <w:r>
        <w:rPr>
          <w:rFonts w:hint="eastAsia" w:ascii="方正小标宋简体" w:hAnsi="宋体" w:eastAsia="方正小标宋简体" w:cs="宋体"/>
          <w:kern w:val="0"/>
          <w:sz w:val="44"/>
          <w:szCs w:val="44"/>
        </w:rPr>
        <w:t xml:space="preserve"> </w:t>
      </w:r>
      <w:r>
        <w:rPr>
          <w:rFonts w:hint="eastAsia" w:ascii="方正小标宋简体" w:hAnsi="宋体" w:eastAsia="方正小标宋简体" w:cs="宋体"/>
          <w:kern w:val="0"/>
          <w:sz w:val="36"/>
          <w:szCs w:val="36"/>
          <w:lang w:eastAsia="zh-CN"/>
        </w:rPr>
        <w:t>东山盐务局旧办公楼一层店面及部分盐务所房产</w:t>
      </w:r>
    </w:p>
    <w:p>
      <w:pPr>
        <w:widowControl/>
        <w:spacing w:line="579" w:lineRule="atLeast"/>
        <w:jc w:val="center"/>
        <w:rPr>
          <w:rFonts w:hint="eastAsia" w:ascii="宋体" w:hAnsi="宋体" w:cs="宋体"/>
          <w:kern w:val="0"/>
          <w:sz w:val="36"/>
          <w:szCs w:val="36"/>
        </w:rPr>
      </w:pPr>
      <w:r>
        <w:rPr>
          <w:rFonts w:hint="eastAsia" w:ascii="方正小标宋简体" w:hAnsi="宋体" w:eastAsia="方正小标宋简体" w:cs="宋体"/>
          <w:kern w:val="0"/>
          <w:sz w:val="36"/>
          <w:szCs w:val="36"/>
          <w:lang w:eastAsia="zh-CN"/>
        </w:rPr>
        <w:t>公开招租公告</w:t>
      </w:r>
    </w:p>
    <w:p>
      <w:pPr>
        <w:ind w:firstLine="720" w:firstLineChars="200"/>
        <w:jc w:val="center"/>
        <w:rPr>
          <w:rFonts w:hint="eastAsia" w:ascii="宋体" w:hAnsi="宋体"/>
          <w:sz w:val="36"/>
          <w:szCs w:val="36"/>
        </w:rPr>
      </w:pPr>
    </w:p>
    <w:p>
      <w:pPr>
        <w:numPr>
          <w:ilvl w:val="0"/>
          <w:numId w:val="1"/>
        </w:numPr>
        <w:adjustRightInd w:val="0"/>
        <w:snapToGrid w:val="0"/>
        <w:spacing w:line="560" w:lineRule="exact"/>
        <w:ind w:firstLine="640" w:firstLineChars="200"/>
        <w:rPr>
          <w:rFonts w:hint="eastAsia" w:ascii="黑体" w:hAnsi="黑体" w:eastAsia="黑体" w:cs="宋体"/>
          <w:kern w:val="1"/>
          <w:sz w:val="32"/>
          <w:szCs w:val="32"/>
          <w:shd w:val="clear" w:color="auto" w:fill="FFFFFF"/>
        </w:rPr>
      </w:pPr>
      <w:r>
        <w:rPr>
          <w:rFonts w:hint="eastAsia" w:ascii="黑体" w:hAnsi="黑体" w:eastAsia="黑体" w:cs="宋体"/>
          <w:kern w:val="1"/>
          <w:sz w:val="32"/>
          <w:szCs w:val="32"/>
          <w:shd w:val="clear" w:color="auto" w:fill="FFFFFF"/>
        </w:rPr>
        <w:t xml:space="preserve">租赁资产的产权状况、实物现状、资产明细的基本情况 </w:t>
      </w:r>
    </w:p>
    <w:p>
      <w:pPr>
        <w:adjustRightInd w:val="0"/>
        <w:snapToGrid w:val="0"/>
        <w:spacing w:line="580" w:lineRule="exact"/>
        <w:ind w:firstLine="640" w:firstLineChars="200"/>
        <w:rPr>
          <w:rFonts w:hint="eastAsia" w:ascii="仿宋_GB2312" w:hAnsi="仿宋_GB2312" w:eastAsia="仿宋_GB2312" w:cs="宋体"/>
          <w:kern w:val="1"/>
          <w:sz w:val="32"/>
          <w:szCs w:val="32"/>
          <w:lang w:eastAsia="zh-CN"/>
        </w:rPr>
      </w:pPr>
      <w:r>
        <w:rPr>
          <w:rFonts w:hint="eastAsia" w:ascii="仿宋_GB2312" w:hAnsi="宋体" w:eastAsia="仿宋_GB2312" w:cs="宋体"/>
          <w:kern w:val="0"/>
          <w:sz w:val="32"/>
          <w:szCs w:val="32"/>
        </w:rPr>
        <w:t>租赁标的为</w:t>
      </w:r>
      <w:r>
        <w:rPr>
          <w:rFonts w:hint="eastAsia" w:ascii="仿宋_GB2312" w:eastAsia="仿宋_GB2312"/>
          <w:kern w:val="0"/>
          <w:sz w:val="32"/>
          <w:szCs w:val="32"/>
        </w:rPr>
        <w:t>福建</w:t>
      </w:r>
      <w:r>
        <w:rPr>
          <w:rFonts w:hint="eastAsia" w:ascii="仿宋_GB2312" w:eastAsia="仿宋_GB2312"/>
          <w:kern w:val="0"/>
          <w:sz w:val="32"/>
          <w:szCs w:val="32"/>
          <w:lang w:eastAsia="zh-CN"/>
        </w:rPr>
        <w:t>东盐务局</w:t>
      </w:r>
      <w:r>
        <w:rPr>
          <w:rFonts w:hint="eastAsia" w:ascii="仿宋_GB2312" w:hAnsi="宋体" w:eastAsia="仿宋_GB2312" w:cs="宋体"/>
          <w:kern w:val="0"/>
          <w:sz w:val="32"/>
          <w:szCs w:val="32"/>
        </w:rPr>
        <w:t>所持有的房产</w:t>
      </w:r>
      <w:r>
        <w:rPr>
          <w:rFonts w:hint="eastAsia" w:ascii="仿宋_GB2312" w:hAnsi="宋体" w:eastAsia="仿宋_GB2312" w:cs="宋体"/>
          <w:kern w:val="0"/>
          <w:sz w:val="32"/>
          <w:szCs w:val="32"/>
          <w:lang w:eastAsia="zh-CN"/>
        </w:rPr>
        <w:t>，目前有九个租赁标的分别对外公开招租，此次租赁范围的基本情况如下表：</w:t>
      </w:r>
    </w:p>
    <w:tbl>
      <w:tblPr>
        <w:tblStyle w:val="9"/>
        <w:tblW w:w="907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28"/>
        <w:gridCol w:w="1740"/>
        <w:gridCol w:w="1935"/>
        <w:gridCol w:w="1020"/>
        <w:gridCol w:w="1020"/>
        <w:gridCol w:w="1785"/>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标的物名称</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地址</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租赁用途</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建筑面积（m</w:t>
            </w:r>
            <w:r>
              <w:rPr>
                <w:rFonts w:hint="eastAsia" w:ascii="宋体" w:hAnsi="宋体" w:eastAsia="宋体" w:cs="宋体"/>
                <w:b/>
                <w:i w:val="0"/>
                <w:color w:val="000000"/>
                <w:kern w:val="0"/>
                <w:sz w:val="22"/>
                <w:szCs w:val="22"/>
                <w:u w:val="none"/>
                <w:vertAlign w:val="superscript"/>
                <w:lang w:val="en-US" w:eastAsia="zh-CN" w:bidi="ar"/>
              </w:rPr>
              <w:t>2</w:t>
            </w:r>
            <w:r>
              <w:rPr>
                <w:rStyle w:val="13"/>
                <w:lang w:val="en-US" w:eastAsia="zh-CN" w:bidi="ar"/>
              </w:rPr>
              <w:t>）</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土地证件</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22"/>
                <w:szCs w:val="22"/>
                <w:u w:val="none"/>
                <w:lang w:val="en-US" w:eastAsia="zh-CN" w:bidi="ar"/>
              </w:rPr>
            </w:pPr>
            <w:r>
              <w:rPr>
                <w:rFonts w:hint="eastAsia" w:ascii="宋体" w:hAnsi="宋体" w:eastAsia="宋体" w:cs="宋体"/>
                <w:b/>
                <w:i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rPr>
            </w:pPr>
            <w:r>
              <w:rPr>
                <w:rFonts w:hint="eastAsia" w:ascii="宋体" w:hAnsi="宋体" w:eastAsia="宋体" w:cs="宋体"/>
                <w:i w:val="0"/>
                <w:color w:val="000000"/>
                <w:kern w:val="0"/>
                <w:sz w:val="22"/>
                <w:szCs w:val="22"/>
                <w:u w:val="none"/>
                <w:lang w:val="en-US" w:eastAsia="zh-CN" w:bidi="ar"/>
              </w:rPr>
              <w:t>东山盐务局旧办公楼第一层店面1</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东山县西埔镇中兴街康福巷1005-1号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22.63</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2</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东山盐务局旧办公楼第一层店面3</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东山县西埔镇中兴街康福巷1005-3号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21.27</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405"/>
              </w:tabs>
              <w:jc w:val="left"/>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3</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东山盐务局旧办公楼第一层店面4</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东山县西埔镇中兴街康福巷1005-4号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21.82</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tabs>
                <w:tab w:val="left" w:pos="465"/>
              </w:tabs>
              <w:jc w:val="left"/>
              <w:rPr>
                <w:rFonts w:hint="eastAsia" w:ascii="宋体" w:hAnsi="宋体" w:eastAsia="宋体" w:cs="宋体"/>
                <w:i w:val="0"/>
                <w:color w:val="000000"/>
                <w:sz w:val="22"/>
                <w:szCs w:val="22"/>
                <w:u w:val="none"/>
                <w:lang w:eastAsia="zh-CN"/>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4</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东山盐务局旧办公楼第一层店面5</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东山县西埔镇中兴街康福巷1005-5号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22.82</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both"/>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5</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东山盐务局旧办公楼第一层店面6</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东山县西埔镇中兴街康福巷1005-6号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21.33</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6</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东山盐务局旧办公楼第一层店面7</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东山县西埔镇中兴街康福巷1005-7号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10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22.32</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东国用（1997）字第364号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7</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东山盐务局白埕盐务所</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东山县陈城镇白埕村802号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276.41</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东国用（1997）字第314号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8</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东山盐务局礁头盐务所</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东山县杏陈镇礁头村18-1号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370.1</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东国用（1997）字第354号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lang w:val="en-US" w:eastAsia="zh-CN"/>
              </w:rPr>
            </w:pPr>
            <w:r>
              <w:rPr>
                <w:rFonts w:hint="eastAsia" w:ascii="宋体" w:hAnsi="宋体" w:eastAsia="宋体" w:cs="宋体"/>
                <w:i w:val="0"/>
                <w:color w:val="000000"/>
                <w:sz w:val="22"/>
                <w:szCs w:val="22"/>
                <w:u w:val="none"/>
                <w:lang w:val="en-US" w:eastAsia="zh-CN"/>
              </w:rPr>
              <w:t>9</w:t>
            </w:r>
          </w:p>
        </w:tc>
        <w:tc>
          <w:tcPr>
            <w:tcW w:w="17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东山盐务局埕英盐务所</w:t>
            </w:r>
          </w:p>
        </w:tc>
        <w:tc>
          <w:tcPr>
            <w:tcW w:w="19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东山县杏埕镇埕英村杏陈293号</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102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483.83</w:t>
            </w:r>
          </w:p>
        </w:tc>
        <w:tc>
          <w:tcPr>
            <w:tcW w:w="1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kern w:val="1"/>
                <w:sz w:val="22"/>
                <w:szCs w:val="22"/>
                <w:lang w:eastAsia="zh-CN"/>
              </w:rPr>
              <w:t>东国用（2000）字第355号</w:t>
            </w:r>
          </w:p>
        </w:tc>
        <w:tc>
          <w:tcPr>
            <w:tcW w:w="10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eastAsia="zh-CN"/>
              </w:rPr>
              <w:t>无产权证</w:t>
            </w:r>
          </w:p>
        </w:tc>
      </w:tr>
    </w:tbl>
    <w:p>
      <w:pPr>
        <w:pStyle w:val="2"/>
        <w:rPr>
          <w:rFonts w:hint="eastAsia"/>
        </w:rPr>
      </w:pPr>
    </w:p>
    <w:p>
      <w:pPr>
        <w:adjustRightInd w:val="0"/>
        <w:snapToGrid w:val="0"/>
        <w:spacing w:line="560" w:lineRule="exact"/>
        <w:ind w:firstLine="640" w:firstLineChars="200"/>
        <w:rPr>
          <w:rFonts w:ascii="黑体" w:hAnsi="黑体" w:eastAsia="黑体" w:cs="宋体"/>
          <w:kern w:val="1"/>
          <w:sz w:val="32"/>
          <w:szCs w:val="32"/>
          <w:shd w:val="clear" w:color="auto" w:fill="FFFFFF"/>
        </w:rPr>
      </w:pPr>
      <w:r>
        <w:rPr>
          <w:rFonts w:ascii="黑体" w:hAnsi="黑体" w:eastAsia="黑体" w:cs="宋体"/>
          <w:kern w:val="1"/>
          <w:sz w:val="32"/>
          <w:szCs w:val="32"/>
          <w:shd w:val="clear" w:color="auto" w:fill="FFFFFF"/>
        </w:rPr>
        <w:t>二、租赁目的及可行性、租赁用途</w:t>
      </w:r>
      <w:r>
        <w:rPr>
          <w:rFonts w:hint="eastAsia" w:ascii="黑体" w:hAnsi="黑体" w:eastAsia="黑体" w:cs="宋体"/>
          <w:kern w:val="1"/>
          <w:sz w:val="32"/>
          <w:szCs w:val="32"/>
          <w:shd w:val="clear" w:color="auto" w:fill="FFFFFF"/>
        </w:rPr>
        <w:t>、</w:t>
      </w:r>
      <w:r>
        <w:rPr>
          <w:rFonts w:ascii="黑体" w:hAnsi="黑体" w:eastAsia="黑体" w:cs="宋体"/>
          <w:kern w:val="1"/>
          <w:sz w:val="32"/>
          <w:szCs w:val="32"/>
          <w:shd w:val="clear" w:color="auto" w:fill="FFFFFF"/>
        </w:rPr>
        <w:t>租赁期限</w:t>
      </w:r>
    </w:p>
    <w:p>
      <w:pPr>
        <w:adjustRightInd w:val="0"/>
        <w:snapToGrid w:val="0"/>
        <w:spacing w:line="580" w:lineRule="exact"/>
        <w:ind w:firstLine="640" w:firstLineChars="200"/>
        <w:rPr>
          <w:rFonts w:hint="eastAsia" w:ascii="仿宋_GB2312" w:hAnsi="仿宋_GB2312" w:eastAsia="仿宋_GB2312" w:cs="宋体"/>
          <w:kern w:val="1"/>
          <w:sz w:val="32"/>
          <w:szCs w:val="32"/>
        </w:rPr>
      </w:pPr>
      <w:r>
        <w:rPr>
          <w:rFonts w:ascii="仿宋_GB2312" w:hAnsi="仿宋_GB2312" w:eastAsia="仿宋_GB2312" w:cs="宋体"/>
          <w:kern w:val="1"/>
          <w:sz w:val="32"/>
          <w:szCs w:val="32"/>
        </w:rPr>
        <w:t>1.租赁目的及可行性：</w:t>
      </w:r>
      <w:r>
        <w:rPr>
          <w:rFonts w:hint="eastAsia" w:ascii="仿宋_GB2312" w:hAnsi="仿宋_GB2312" w:eastAsia="仿宋_GB2312" w:cs="宋体"/>
          <w:kern w:val="1"/>
          <w:sz w:val="32"/>
          <w:szCs w:val="32"/>
          <w:lang w:eastAsia="zh-CN"/>
        </w:rPr>
        <w:t>本次出租标的物</w:t>
      </w:r>
      <w:r>
        <w:rPr>
          <w:rFonts w:hint="eastAsia" w:ascii="仿宋_GB2312" w:hAnsi="仿宋_GB2312" w:eastAsia="仿宋_GB2312" w:cs="宋体"/>
          <w:kern w:val="1"/>
          <w:sz w:val="32"/>
          <w:szCs w:val="32"/>
        </w:rPr>
        <w:t>现为出租状态（</w:t>
      </w:r>
      <w:r>
        <w:rPr>
          <w:rFonts w:hint="eastAsia" w:ascii="仿宋_GB2312" w:hAnsi="仿宋_GB2312" w:eastAsia="仿宋_GB2312" w:cs="宋体"/>
          <w:kern w:val="1"/>
          <w:sz w:val="32"/>
          <w:szCs w:val="32"/>
          <w:lang w:eastAsia="zh-CN"/>
        </w:rPr>
        <w:t>各标的物</w:t>
      </w:r>
      <w:r>
        <w:rPr>
          <w:rFonts w:hint="eastAsia" w:ascii="仿宋_GB2312" w:hAnsi="仿宋_GB2312" w:eastAsia="仿宋_GB2312" w:cs="宋体"/>
          <w:kern w:val="1"/>
          <w:sz w:val="32"/>
          <w:szCs w:val="32"/>
        </w:rPr>
        <w:t>租赁期限</w:t>
      </w:r>
      <w:r>
        <w:rPr>
          <w:rFonts w:hint="eastAsia" w:ascii="仿宋_GB2312" w:hAnsi="仿宋_GB2312" w:eastAsia="仿宋_GB2312" w:cs="宋体"/>
          <w:kern w:val="1"/>
          <w:sz w:val="32"/>
          <w:szCs w:val="32"/>
          <w:lang w:eastAsia="zh-CN"/>
        </w:rPr>
        <w:t>详见第</w:t>
      </w:r>
      <w:r>
        <w:rPr>
          <w:rFonts w:hint="eastAsia" w:ascii="仿宋_GB2312" w:hAnsi="仿宋_GB2312" w:eastAsia="仿宋_GB2312" w:cs="宋体"/>
          <w:kern w:val="1"/>
          <w:sz w:val="32"/>
          <w:szCs w:val="32"/>
          <w:lang w:val="en-US" w:eastAsia="zh-CN"/>
        </w:rPr>
        <w:t>3页附表</w:t>
      </w:r>
      <w:r>
        <w:rPr>
          <w:rFonts w:hint="eastAsia" w:ascii="仿宋_GB2312" w:hAnsi="仿宋_GB2312" w:eastAsia="仿宋_GB2312" w:cs="宋体"/>
          <w:kern w:val="1"/>
          <w:sz w:val="32"/>
          <w:szCs w:val="32"/>
        </w:rPr>
        <w:t>）</w:t>
      </w:r>
      <w:r>
        <w:rPr>
          <w:rFonts w:hint="eastAsia" w:ascii="仿宋_GB2312" w:eastAsia="仿宋_GB2312"/>
          <w:sz w:val="32"/>
          <w:szCs w:val="32"/>
        </w:rPr>
        <w:t>。</w:t>
      </w:r>
      <w:r>
        <w:rPr>
          <w:rFonts w:ascii="仿宋_GB2312" w:hAnsi="仿宋_GB2312" w:eastAsia="仿宋_GB2312" w:cs="宋体"/>
          <w:kern w:val="1"/>
          <w:sz w:val="32"/>
          <w:szCs w:val="32"/>
        </w:rPr>
        <w:t>为</w:t>
      </w:r>
      <w:r>
        <w:rPr>
          <w:rFonts w:hint="eastAsia" w:ascii="仿宋_GB2312" w:hAnsi="仿宋_GB2312" w:eastAsia="仿宋_GB2312" w:cs="宋体"/>
          <w:kern w:val="1"/>
          <w:sz w:val="32"/>
          <w:szCs w:val="32"/>
        </w:rPr>
        <w:t>国有资产保值、增值，合理配置盘活固定资产并提升资产经济效益，经研究决定对标的物进行对外公开招租。</w:t>
      </w: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r>
        <w:rPr>
          <w:rFonts w:hint="eastAsia" w:ascii="仿宋_GB2312" w:hAnsi="仿宋_GB2312" w:eastAsia="仿宋_GB2312" w:cs="宋体"/>
          <w:kern w:val="1"/>
          <w:sz w:val="32"/>
          <w:szCs w:val="32"/>
        </w:rPr>
        <w:t>2.租赁用途：</w:t>
      </w:r>
      <w:r>
        <w:rPr>
          <w:rFonts w:hint="eastAsia" w:ascii="仿宋_GB2312" w:hAnsi="仿宋_GB2312" w:eastAsia="仿宋_GB2312" w:cs="宋体"/>
          <w:kern w:val="1"/>
          <w:sz w:val="32"/>
          <w:szCs w:val="32"/>
          <w:lang w:eastAsia="zh-CN"/>
        </w:rPr>
        <w:t>详见第</w:t>
      </w:r>
      <w:r>
        <w:rPr>
          <w:rFonts w:hint="eastAsia" w:ascii="仿宋_GB2312" w:hAnsi="仿宋_GB2312" w:eastAsia="仿宋_GB2312" w:cs="宋体"/>
          <w:kern w:val="1"/>
          <w:sz w:val="32"/>
          <w:szCs w:val="32"/>
          <w:lang w:val="en-US" w:eastAsia="zh-CN"/>
        </w:rPr>
        <w:t>3页附表</w:t>
      </w:r>
      <w:r>
        <w:rPr>
          <w:rFonts w:hint="eastAsia" w:ascii="仿宋_GB2312" w:hAnsi="仿宋_GB2312" w:eastAsia="仿宋_GB2312" w:cs="宋体"/>
          <w:kern w:val="1"/>
          <w:sz w:val="32"/>
          <w:szCs w:val="32"/>
        </w:rPr>
        <w:t>。</w:t>
      </w:r>
      <w:r>
        <w:rPr>
          <w:rFonts w:hint="eastAsia" w:ascii="仿宋_GB2312" w:hAnsi="仿宋_GB2312" w:eastAsia="仿宋_GB2312" w:cs="宋体"/>
          <w:kern w:val="1"/>
          <w:sz w:val="32"/>
          <w:szCs w:val="32"/>
          <w:lang w:val="en-US" w:eastAsia="zh-CN"/>
        </w:rPr>
        <w:t>（以上标的物均</w:t>
      </w:r>
      <w:r>
        <w:rPr>
          <w:rFonts w:hint="eastAsia" w:ascii="仿宋_GB2312" w:hAnsi="仿宋_GB2312" w:eastAsia="仿宋_GB2312" w:cs="宋体"/>
          <w:kern w:val="1"/>
          <w:sz w:val="32"/>
          <w:szCs w:val="32"/>
        </w:rPr>
        <w:t>不得用于易燃易爆、危险品、有毒化工、腐蚀性化工及法律法规不允许的行业</w:t>
      </w:r>
      <w:r>
        <w:rPr>
          <w:rFonts w:hint="eastAsia" w:ascii="仿宋_GB2312" w:hAnsi="仿宋_GB2312" w:eastAsia="仿宋_GB2312" w:cs="宋体"/>
          <w:kern w:val="1"/>
          <w:sz w:val="32"/>
          <w:szCs w:val="32"/>
          <w:lang w:eastAsia="zh-CN"/>
        </w:rPr>
        <w:t>）。</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hint="eastAsia" w:ascii="仿宋_GB2312" w:hAnsi="仿宋_GB2312" w:eastAsia="仿宋_GB2312" w:cs="宋体"/>
          <w:kern w:val="1"/>
          <w:sz w:val="32"/>
          <w:szCs w:val="32"/>
        </w:rPr>
        <w:t>3.租赁期限：三年（自租赁标的交付之日起算）。</w:t>
      </w:r>
    </w:p>
    <w:p>
      <w:pPr>
        <w:adjustRightInd w:val="0"/>
        <w:snapToGrid w:val="0"/>
        <w:spacing w:line="560" w:lineRule="exact"/>
        <w:ind w:firstLine="640" w:firstLineChars="200"/>
        <w:rPr>
          <w:rFonts w:ascii="黑体" w:hAnsi="黑体" w:eastAsia="黑体" w:cs="宋体"/>
          <w:kern w:val="1"/>
          <w:sz w:val="32"/>
          <w:szCs w:val="32"/>
          <w:shd w:val="clear" w:color="auto" w:fill="FFFFFF"/>
        </w:rPr>
      </w:pPr>
      <w:r>
        <w:rPr>
          <w:rFonts w:ascii="黑体" w:hAnsi="黑体" w:eastAsia="黑体" w:cs="宋体"/>
          <w:kern w:val="1"/>
          <w:sz w:val="32"/>
          <w:szCs w:val="32"/>
          <w:shd w:val="clear" w:color="auto" w:fill="FFFFFF"/>
        </w:rPr>
        <w:t>三、租赁底价及确定依据，装修免租期、租金支付方式、租金递增率、</w:t>
      </w:r>
      <w:r>
        <w:rPr>
          <w:rFonts w:hint="eastAsia" w:ascii="黑体" w:hAnsi="黑体" w:eastAsia="黑体" w:cs="宋体"/>
          <w:kern w:val="1"/>
          <w:sz w:val="32"/>
          <w:szCs w:val="32"/>
          <w:shd w:val="clear" w:color="auto" w:fill="FFFFFF"/>
          <w:lang w:eastAsia="zh-CN"/>
        </w:rPr>
        <w:t>竞价保证金、</w:t>
      </w:r>
      <w:r>
        <w:rPr>
          <w:rFonts w:ascii="黑体" w:hAnsi="黑体" w:eastAsia="黑体" w:cs="宋体"/>
          <w:kern w:val="1"/>
          <w:sz w:val="32"/>
          <w:szCs w:val="32"/>
          <w:shd w:val="clear" w:color="auto" w:fill="FFFFFF"/>
        </w:rPr>
        <w:t>履约保证金以及竞价方式</w:t>
      </w: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r>
        <w:rPr>
          <w:rFonts w:hint="eastAsia" w:ascii="仿宋_GB2312" w:hAnsi="仿宋_GB2312" w:eastAsia="仿宋_GB2312" w:cs="宋体"/>
          <w:kern w:val="1"/>
          <w:sz w:val="32"/>
          <w:szCs w:val="32"/>
        </w:rPr>
        <w:t>1.租赁底价及确定依据：</w:t>
      </w:r>
      <w:r>
        <w:rPr>
          <w:rFonts w:ascii="仿宋_GB2312" w:hAnsi="仿宋_GB2312" w:eastAsia="仿宋_GB2312" w:cs="宋体"/>
          <w:kern w:val="1"/>
          <w:sz w:val="32"/>
          <w:szCs w:val="32"/>
        </w:rPr>
        <w:t>根据</w:t>
      </w:r>
      <w:r>
        <w:rPr>
          <w:rFonts w:hint="eastAsia" w:ascii="仿宋_GB2312" w:hAnsi="仿宋_GB2312" w:eastAsia="仿宋_GB2312" w:cs="宋体"/>
          <w:kern w:val="1"/>
          <w:sz w:val="32"/>
          <w:szCs w:val="32"/>
          <w:lang w:eastAsia="zh-CN"/>
        </w:rPr>
        <w:t>我公司遴选的三家评估公司进行比选</w:t>
      </w:r>
      <w:r>
        <w:rPr>
          <w:rFonts w:hint="eastAsia" w:ascii="仿宋_GB2312" w:hAnsi="仿宋_GB2312" w:eastAsia="仿宋_GB2312" w:cs="宋体"/>
          <w:kern w:val="1"/>
          <w:sz w:val="32"/>
          <w:szCs w:val="32"/>
        </w:rPr>
        <w:t>，最终选取福建鑫八闽价格鉴定评估有限公司。根据福建鑫八闽价格鉴定评估有限公司出具的《</w:t>
      </w:r>
      <w:r>
        <w:rPr>
          <w:rFonts w:hint="eastAsia" w:ascii="仿宋_GB2312" w:hAnsi="仿宋_GB2312" w:eastAsia="仿宋_GB2312" w:cs="宋体"/>
          <w:kern w:val="1"/>
          <w:sz w:val="32"/>
          <w:szCs w:val="32"/>
          <w:lang w:eastAsia="zh-CN"/>
        </w:rPr>
        <w:t>关于福建东山盐务局旧办公楼的店面年租赁价格招标底价的</w:t>
      </w:r>
      <w:r>
        <w:rPr>
          <w:rFonts w:hint="eastAsia" w:ascii="仿宋_GB2312" w:hAnsi="仿宋_GB2312" w:eastAsia="仿宋_GB2312" w:cs="宋体"/>
          <w:kern w:val="1"/>
          <w:sz w:val="32"/>
          <w:szCs w:val="32"/>
        </w:rPr>
        <w:t>价格评估意见书》（鑫八闽价鉴〔2</w:t>
      </w:r>
      <w:r>
        <w:rPr>
          <w:rFonts w:hint="eastAsia" w:ascii="仿宋_GB2312" w:hAnsi="仿宋_GB2312" w:eastAsia="仿宋_GB2312" w:cs="宋体"/>
          <w:kern w:val="1"/>
          <w:sz w:val="32"/>
          <w:szCs w:val="32"/>
          <w:lang w:val="en-US" w:eastAsia="zh-CN"/>
        </w:rPr>
        <w:t>021</w:t>
      </w:r>
      <w:r>
        <w:rPr>
          <w:rFonts w:hint="eastAsia" w:ascii="仿宋_GB2312" w:hAnsi="仿宋_GB2312" w:eastAsia="仿宋_GB2312" w:cs="宋体"/>
          <w:kern w:val="1"/>
          <w:sz w:val="32"/>
          <w:szCs w:val="32"/>
        </w:rPr>
        <w:t>〕</w:t>
      </w:r>
      <w:r>
        <w:rPr>
          <w:rFonts w:hint="eastAsia" w:ascii="仿宋_GB2312" w:hAnsi="仿宋_GB2312" w:eastAsia="仿宋_GB2312" w:cs="宋体"/>
          <w:kern w:val="1"/>
          <w:sz w:val="32"/>
          <w:szCs w:val="32"/>
          <w:lang w:val="en-US" w:eastAsia="zh-CN"/>
        </w:rPr>
        <w:t>171</w:t>
      </w:r>
      <w:r>
        <w:rPr>
          <w:rFonts w:hint="eastAsia" w:ascii="仿宋_GB2312" w:hAnsi="仿宋_GB2312" w:eastAsia="仿宋_GB2312" w:cs="宋体"/>
          <w:kern w:val="1"/>
          <w:sz w:val="32"/>
          <w:szCs w:val="32"/>
        </w:rPr>
        <w:t>号）</w:t>
      </w:r>
      <w:r>
        <w:rPr>
          <w:rFonts w:hint="eastAsia" w:ascii="仿宋_GB2312" w:hAnsi="仿宋_GB2312" w:eastAsia="仿宋_GB2312" w:cs="宋体"/>
          <w:kern w:val="1"/>
          <w:sz w:val="32"/>
          <w:szCs w:val="32"/>
          <w:lang w:eastAsia="zh-CN"/>
        </w:rPr>
        <w:t>、</w:t>
      </w:r>
      <w:r>
        <w:rPr>
          <w:rFonts w:hint="eastAsia" w:ascii="仿宋_GB2312" w:hAnsi="仿宋_GB2312" w:eastAsia="仿宋_GB2312" w:cs="宋体"/>
          <w:kern w:val="1"/>
          <w:sz w:val="32"/>
          <w:szCs w:val="32"/>
        </w:rPr>
        <w:t>《</w:t>
      </w:r>
      <w:r>
        <w:rPr>
          <w:rFonts w:hint="eastAsia" w:ascii="仿宋_GB2312" w:hAnsi="仿宋_GB2312" w:eastAsia="仿宋_GB2312" w:cs="宋体"/>
          <w:kern w:val="1"/>
          <w:sz w:val="32"/>
          <w:szCs w:val="32"/>
          <w:lang w:eastAsia="zh-CN"/>
        </w:rPr>
        <w:t>关于福建东山盐务局址在东山县其他城镇的房产年租赁价格招标底价的</w:t>
      </w:r>
      <w:r>
        <w:rPr>
          <w:rFonts w:hint="eastAsia" w:ascii="仿宋_GB2312" w:hAnsi="仿宋_GB2312" w:eastAsia="仿宋_GB2312" w:cs="宋体"/>
          <w:kern w:val="1"/>
          <w:sz w:val="32"/>
          <w:szCs w:val="32"/>
        </w:rPr>
        <w:t>价格评估意见书》（鑫八闽价鉴〔2</w:t>
      </w:r>
      <w:r>
        <w:rPr>
          <w:rFonts w:hint="eastAsia" w:ascii="仿宋_GB2312" w:hAnsi="仿宋_GB2312" w:eastAsia="仿宋_GB2312" w:cs="宋体"/>
          <w:kern w:val="1"/>
          <w:sz w:val="32"/>
          <w:szCs w:val="32"/>
          <w:lang w:val="en-US" w:eastAsia="zh-CN"/>
        </w:rPr>
        <w:t>021</w:t>
      </w:r>
      <w:r>
        <w:rPr>
          <w:rFonts w:hint="eastAsia" w:ascii="仿宋_GB2312" w:hAnsi="仿宋_GB2312" w:eastAsia="仿宋_GB2312" w:cs="宋体"/>
          <w:kern w:val="1"/>
          <w:sz w:val="32"/>
          <w:szCs w:val="32"/>
        </w:rPr>
        <w:t>〕</w:t>
      </w:r>
      <w:r>
        <w:rPr>
          <w:rFonts w:hint="eastAsia" w:ascii="仿宋_GB2312" w:hAnsi="仿宋_GB2312" w:eastAsia="仿宋_GB2312" w:cs="宋体"/>
          <w:kern w:val="1"/>
          <w:sz w:val="32"/>
          <w:szCs w:val="32"/>
          <w:lang w:val="en-US" w:eastAsia="zh-CN"/>
        </w:rPr>
        <w:t>172</w:t>
      </w:r>
      <w:r>
        <w:rPr>
          <w:rFonts w:hint="eastAsia" w:ascii="仿宋_GB2312" w:hAnsi="仿宋_GB2312" w:eastAsia="仿宋_GB2312" w:cs="宋体"/>
          <w:kern w:val="1"/>
          <w:sz w:val="32"/>
          <w:szCs w:val="32"/>
        </w:rPr>
        <w:t>号）</w:t>
      </w:r>
      <w:r>
        <w:rPr>
          <w:rFonts w:hint="eastAsia" w:ascii="仿宋_GB2312" w:hAnsi="仿宋_GB2312" w:eastAsia="仿宋_GB2312" w:cs="宋体"/>
          <w:kern w:val="1"/>
          <w:sz w:val="32"/>
          <w:szCs w:val="32"/>
          <w:lang w:eastAsia="zh-CN"/>
        </w:rPr>
        <w:t>，经</w:t>
      </w:r>
      <w:r>
        <w:rPr>
          <w:rFonts w:hint="eastAsia" w:ascii="仿宋_GB2312" w:hAnsi="仿宋_GB2312" w:eastAsia="仿宋_GB2312" w:cs="宋体"/>
          <w:kern w:val="1"/>
          <w:sz w:val="32"/>
          <w:szCs w:val="32"/>
        </w:rPr>
        <w:t>我司</w:t>
      </w:r>
      <w:r>
        <w:rPr>
          <w:rFonts w:hint="eastAsia" w:ascii="仿宋_GB2312" w:hAnsi="仿宋_GB2312" w:eastAsia="仿宋_GB2312" w:cs="宋体"/>
          <w:kern w:val="1"/>
          <w:sz w:val="32"/>
          <w:szCs w:val="32"/>
          <w:lang w:eastAsia="zh-CN"/>
        </w:rPr>
        <w:t>研究决定</w:t>
      </w:r>
      <w:r>
        <w:rPr>
          <w:rFonts w:hint="eastAsia" w:ascii="仿宋_GB2312" w:hAnsi="仿宋_GB2312" w:eastAsia="仿宋_GB2312" w:cs="宋体"/>
          <w:kern w:val="1"/>
          <w:sz w:val="32"/>
          <w:szCs w:val="32"/>
        </w:rPr>
        <w:t>，</w:t>
      </w:r>
      <w:r>
        <w:rPr>
          <w:rFonts w:hint="eastAsia" w:ascii="仿宋_GB2312" w:hAnsi="仿宋_GB2312" w:eastAsia="仿宋_GB2312" w:cs="宋体"/>
          <w:kern w:val="1"/>
          <w:sz w:val="32"/>
          <w:szCs w:val="32"/>
          <w:lang w:eastAsia="zh-CN"/>
        </w:rPr>
        <w:t>最终确定租赁底价详见下表：</w:t>
      </w: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pPr>
    </w:p>
    <w:tbl>
      <w:tblPr>
        <w:tblStyle w:val="9"/>
        <w:tblW w:w="91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85"/>
        <w:gridCol w:w="1195"/>
        <w:gridCol w:w="1560"/>
        <w:gridCol w:w="855"/>
        <w:gridCol w:w="843"/>
        <w:gridCol w:w="1020"/>
        <w:gridCol w:w="1140"/>
        <w:gridCol w:w="930"/>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5" w:hRule="atLeast"/>
        </w:trPr>
        <w:tc>
          <w:tcPr>
            <w:tcW w:w="9133" w:type="dxa"/>
            <w:gridSpan w:val="9"/>
            <w:tcBorders>
              <w:top w:val="nil"/>
              <w:left w:val="nil"/>
              <w:bottom w:val="single" w:color="000000" w:sz="8" w:space="0"/>
              <w:right w:val="nil"/>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both"/>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序号</w:t>
            </w:r>
          </w:p>
        </w:tc>
        <w:tc>
          <w:tcPr>
            <w:tcW w:w="119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标的物名称</w:t>
            </w:r>
          </w:p>
        </w:tc>
        <w:tc>
          <w:tcPr>
            <w:tcW w:w="156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地址</w:t>
            </w:r>
          </w:p>
        </w:tc>
        <w:tc>
          <w:tcPr>
            <w:tcW w:w="85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用途</w:t>
            </w:r>
          </w:p>
        </w:tc>
        <w:tc>
          <w:tcPr>
            <w:tcW w:w="843"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建筑面积（m</w:t>
            </w:r>
            <w:r>
              <w:rPr>
                <w:rStyle w:val="14"/>
                <w:lang w:val="en-US" w:eastAsia="zh-CN" w:bidi="ar"/>
              </w:rPr>
              <w:t>2</w:t>
            </w:r>
            <w:r>
              <w:rPr>
                <w:rFonts w:hint="eastAsia" w:ascii="宋体" w:hAnsi="宋体" w:eastAsia="宋体" w:cs="宋体"/>
                <w:b/>
                <w:i w:val="0"/>
                <w:color w:val="000000"/>
                <w:kern w:val="0"/>
                <w:sz w:val="22"/>
                <w:szCs w:val="22"/>
                <w:u w:val="none"/>
                <w:lang w:val="en-US" w:eastAsia="zh-CN" w:bidi="ar"/>
              </w:rPr>
              <w:t>）</w:t>
            </w:r>
          </w:p>
        </w:tc>
        <w:tc>
          <w:tcPr>
            <w:tcW w:w="102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原合同截止时间</w:t>
            </w:r>
          </w:p>
        </w:tc>
        <w:tc>
          <w:tcPr>
            <w:tcW w:w="114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sz w:val="22"/>
                <w:szCs w:val="22"/>
                <w:u w:val="none"/>
                <w:lang w:eastAsia="zh-CN"/>
              </w:rPr>
              <w:t>月租赁底价（元/㎡·月）</w:t>
            </w:r>
          </w:p>
        </w:tc>
        <w:tc>
          <w:tcPr>
            <w:tcW w:w="93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年租赁底价                    （元/年</w:t>
            </w:r>
            <w:r>
              <w:rPr>
                <w:rStyle w:val="15"/>
                <w:lang w:val="en-US" w:eastAsia="zh-CN" w:bidi="ar"/>
              </w:rPr>
              <w:t>）</w:t>
            </w:r>
          </w:p>
        </w:tc>
        <w:tc>
          <w:tcPr>
            <w:tcW w:w="1005"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竞租证金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东山盐务局旧办公楼第一层店面1</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东山县西埔镇中兴街康福巷1005-1号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22.63</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115</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31230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东山盐务局旧办公楼第一层店面3</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东山县西埔镇中兴街康福巷1005-3号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21.27</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2021.10.12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105</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26800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东山盐务局旧办公楼第一层店面4</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东山县西埔镇中兴街康福巷1005-4号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21.82</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110</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28800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东山盐务局旧办公楼第一层店面5</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东山县西埔镇中兴街康福巷1005-5号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22.82</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102</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27930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东山盐务局旧办公楼第一层店面6</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东山县西埔镇中兴街康福巷1005-6号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21.33</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105</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26880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东山盐务局旧办公楼第一层店面7</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东山县西埔镇中兴街康福巷1005-7号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店面</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22.32</w:t>
            </w:r>
          </w:p>
        </w:tc>
        <w:tc>
          <w:tcPr>
            <w:tcW w:w="102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2021.6.2</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100</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26780</w:t>
            </w:r>
          </w:p>
        </w:tc>
        <w:tc>
          <w:tcPr>
            <w:tcW w:w="100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东山盐务局白埕盐务所</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东山县陈城镇白埕村802号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276.41</w:t>
            </w:r>
          </w:p>
        </w:tc>
        <w:tc>
          <w:tcPr>
            <w:tcW w:w="10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2021.8.18</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2.87</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9500</w:t>
            </w:r>
          </w:p>
        </w:tc>
        <w:tc>
          <w:tcPr>
            <w:tcW w:w="1005"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东山盐务局礁头盐务所</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东山县杏陈镇礁头村18-1号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370.1</w:t>
            </w:r>
          </w:p>
        </w:tc>
        <w:tc>
          <w:tcPr>
            <w:tcW w:w="10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2021.6.30</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0.68</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3000</w:t>
            </w:r>
          </w:p>
        </w:tc>
        <w:tc>
          <w:tcPr>
            <w:tcW w:w="1005"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95" w:hRule="atLeast"/>
        </w:trPr>
        <w:tc>
          <w:tcPr>
            <w:tcW w:w="5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19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东山盐务局埕英盐务所</w:t>
            </w:r>
          </w:p>
        </w:tc>
        <w:tc>
          <w:tcPr>
            <w:tcW w:w="156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东山县杏埕镇埕英村杏陈293号</w:t>
            </w:r>
          </w:p>
        </w:tc>
        <w:tc>
          <w:tcPr>
            <w:tcW w:w="855"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综合</w:t>
            </w:r>
          </w:p>
        </w:tc>
        <w:tc>
          <w:tcPr>
            <w:tcW w:w="843"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483.83</w:t>
            </w:r>
          </w:p>
        </w:tc>
        <w:tc>
          <w:tcPr>
            <w:tcW w:w="102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2021.7.31</w:t>
            </w:r>
          </w:p>
        </w:tc>
        <w:tc>
          <w:tcPr>
            <w:tcW w:w="11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sz w:val="22"/>
                <w:szCs w:val="22"/>
                <w:u w:val="none"/>
                <w:lang w:val="en-US" w:eastAsia="zh-CN"/>
              </w:rPr>
              <w:t>1.64</w:t>
            </w:r>
          </w:p>
        </w:tc>
        <w:tc>
          <w:tcPr>
            <w:tcW w:w="93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9500</w:t>
            </w:r>
          </w:p>
        </w:tc>
        <w:tc>
          <w:tcPr>
            <w:tcW w:w="1005"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2000</w:t>
            </w:r>
          </w:p>
        </w:tc>
      </w:tr>
    </w:tbl>
    <w:p>
      <w:pPr>
        <w:adjustRightInd w:val="0"/>
        <w:snapToGrid w:val="0"/>
        <w:spacing w:line="560" w:lineRule="exact"/>
        <w:ind w:firstLine="640" w:firstLineChars="200"/>
        <w:rPr>
          <w:rFonts w:hint="eastAsia" w:ascii="仿宋_GB2312" w:hAnsi="仿宋_GB2312" w:eastAsia="仿宋_GB2312" w:cs="宋体"/>
          <w:kern w:val="1"/>
          <w:sz w:val="32"/>
          <w:szCs w:val="32"/>
          <w:lang w:eastAsia="zh-CN"/>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adjustRightInd w:val="0"/>
        <w:snapToGrid w:val="0"/>
        <w:spacing w:line="560" w:lineRule="exact"/>
        <w:ind w:firstLine="640" w:firstLineChars="200"/>
        <w:rPr>
          <w:rFonts w:ascii="仿宋_GB2312" w:hAnsi="仿宋_GB2312" w:eastAsia="仿宋_GB2312" w:cs="宋体"/>
          <w:kern w:val="1"/>
          <w:sz w:val="32"/>
          <w:szCs w:val="32"/>
        </w:rPr>
      </w:pPr>
      <w:r>
        <w:rPr>
          <w:rFonts w:ascii="仿宋_GB2312" w:hAnsi="仿宋_GB2312" w:eastAsia="仿宋_GB2312" w:cs="宋体"/>
          <w:kern w:val="1"/>
          <w:sz w:val="32"/>
          <w:szCs w:val="32"/>
        </w:rPr>
        <w:t>2.装修免租期：</w:t>
      </w:r>
      <w:r>
        <w:rPr>
          <w:rFonts w:hint="eastAsia" w:ascii="仿宋_GB2312" w:hAnsi="仿宋_GB2312" w:eastAsia="仿宋_GB2312" w:cs="宋体"/>
          <w:kern w:val="1"/>
          <w:sz w:val="32"/>
          <w:szCs w:val="32"/>
        </w:rPr>
        <w:t>无。</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3.</w:t>
      </w:r>
      <w:r>
        <w:rPr>
          <w:rFonts w:ascii="仿宋_GB2312" w:hAnsi="仿宋_GB2312" w:eastAsia="仿宋_GB2312" w:cs="宋体"/>
          <w:kern w:val="1"/>
          <w:sz w:val="32"/>
          <w:szCs w:val="32"/>
        </w:rPr>
        <w:t>租金支付方式：租金的缴纳以转账方式准时缴纳到出租方指定账户。每</w:t>
      </w:r>
      <w:r>
        <w:rPr>
          <w:rFonts w:hint="eastAsia" w:ascii="仿宋_GB2312" w:hAnsi="仿宋_GB2312" w:eastAsia="仿宋_GB2312" w:cs="宋体"/>
          <w:kern w:val="1"/>
          <w:sz w:val="32"/>
          <w:szCs w:val="32"/>
        </w:rPr>
        <w:t>年</w:t>
      </w:r>
      <w:r>
        <w:rPr>
          <w:rFonts w:ascii="仿宋_GB2312" w:hAnsi="仿宋_GB2312" w:eastAsia="仿宋_GB2312" w:cs="宋体"/>
          <w:kern w:val="1"/>
          <w:sz w:val="32"/>
          <w:szCs w:val="32"/>
        </w:rPr>
        <w:t>支付一次（先</w:t>
      </w:r>
      <w:r>
        <w:rPr>
          <w:rFonts w:hint="eastAsia" w:ascii="仿宋_GB2312" w:hAnsi="仿宋_GB2312" w:eastAsia="仿宋_GB2312" w:cs="宋体"/>
          <w:kern w:val="1"/>
          <w:sz w:val="32"/>
          <w:szCs w:val="32"/>
        </w:rPr>
        <w:t>付</w:t>
      </w:r>
      <w:r>
        <w:rPr>
          <w:rFonts w:ascii="仿宋_GB2312" w:hAnsi="仿宋_GB2312" w:eastAsia="仿宋_GB2312" w:cs="宋体"/>
          <w:kern w:val="1"/>
          <w:sz w:val="32"/>
          <w:szCs w:val="32"/>
        </w:rPr>
        <w:t>后用），签订《</w:t>
      </w:r>
      <w:r>
        <w:rPr>
          <w:rFonts w:hint="eastAsia" w:ascii="仿宋_GB2312" w:hAnsi="仿宋_GB2312" w:eastAsia="仿宋_GB2312" w:cs="宋体"/>
          <w:kern w:val="1"/>
          <w:sz w:val="32"/>
          <w:szCs w:val="32"/>
        </w:rPr>
        <w:t>房屋</w:t>
      </w:r>
      <w:r>
        <w:rPr>
          <w:rFonts w:ascii="仿宋_GB2312" w:hAnsi="仿宋_GB2312" w:eastAsia="仿宋_GB2312" w:cs="宋体"/>
          <w:kern w:val="1"/>
          <w:sz w:val="32"/>
          <w:szCs w:val="32"/>
        </w:rPr>
        <w:t>租赁合同》</w:t>
      </w:r>
      <w:r>
        <w:rPr>
          <w:rFonts w:hint="eastAsia" w:ascii="仿宋_GB2312" w:hAnsi="仿宋_GB2312" w:eastAsia="仿宋_GB2312" w:cs="宋体"/>
          <w:kern w:val="1"/>
          <w:sz w:val="32"/>
          <w:szCs w:val="32"/>
        </w:rPr>
        <w:t>当日将第一年租金及履约保证金一次性缴纳至出租方指定账户</w:t>
      </w:r>
      <w:r>
        <w:rPr>
          <w:rFonts w:ascii="仿宋_GB2312" w:hAnsi="仿宋_GB2312" w:eastAsia="仿宋_GB2312" w:cs="宋体"/>
          <w:kern w:val="1"/>
          <w:sz w:val="32"/>
          <w:szCs w:val="32"/>
        </w:rPr>
        <w:t>，后续每</w:t>
      </w:r>
      <w:r>
        <w:rPr>
          <w:rFonts w:hint="eastAsia" w:ascii="仿宋_GB2312" w:hAnsi="仿宋_GB2312" w:eastAsia="仿宋_GB2312" w:cs="宋体"/>
          <w:kern w:val="1"/>
          <w:sz w:val="32"/>
          <w:szCs w:val="32"/>
        </w:rPr>
        <w:t>年租金在上一年度期满前10日内</w:t>
      </w:r>
      <w:r>
        <w:rPr>
          <w:rFonts w:ascii="仿宋_GB2312" w:hAnsi="仿宋_GB2312" w:eastAsia="仿宋_GB2312" w:cs="宋体"/>
          <w:kern w:val="1"/>
          <w:sz w:val="32"/>
          <w:szCs w:val="32"/>
        </w:rPr>
        <w:t>向出租方支付下</w:t>
      </w:r>
      <w:r>
        <w:rPr>
          <w:rFonts w:hint="eastAsia" w:ascii="仿宋_GB2312" w:hAnsi="仿宋_GB2312" w:eastAsia="仿宋_GB2312" w:cs="宋体"/>
          <w:kern w:val="1"/>
          <w:sz w:val="32"/>
          <w:szCs w:val="32"/>
        </w:rPr>
        <w:t>一年</w:t>
      </w:r>
      <w:r>
        <w:rPr>
          <w:rFonts w:ascii="仿宋_GB2312" w:hAnsi="仿宋_GB2312" w:eastAsia="仿宋_GB2312" w:cs="宋体"/>
          <w:kern w:val="1"/>
          <w:sz w:val="32"/>
          <w:szCs w:val="32"/>
        </w:rPr>
        <w:t>租金。</w:t>
      </w:r>
    </w:p>
    <w:p>
      <w:pPr>
        <w:ind w:firstLine="640"/>
        <w:rPr>
          <w:rFonts w:hint="eastAsia" w:ascii="仿宋_GB2312" w:hAnsi="仿宋_GB2312" w:eastAsia="仿宋_GB2312" w:cs="宋体"/>
          <w:kern w:val="1"/>
          <w:sz w:val="32"/>
          <w:szCs w:val="32"/>
        </w:rPr>
      </w:pPr>
      <w:r>
        <w:rPr>
          <w:rFonts w:hint="eastAsia" w:ascii="仿宋_GB2312" w:hAnsi="仿宋_GB2312" w:eastAsia="仿宋_GB2312" w:cs="宋体"/>
          <w:kern w:val="1"/>
          <w:sz w:val="32"/>
          <w:szCs w:val="32"/>
        </w:rPr>
        <w:t>4</w:t>
      </w:r>
      <w:r>
        <w:rPr>
          <w:rFonts w:ascii="仿宋_GB2312" w:hAnsi="仿宋_GB2312" w:eastAsia="仿宋_GB2312" w:cs="宋体"/>
          <w:kern w:val="1"/>
          <w:sz w:val="32"/>
          <w:szCs w:val="32"/>
        </w:rPr>
        <w:t>.租金递增率：</w:t>
      </w:r>
      <w:r>
        <w:rPr>
          <w:rFonts w:hint="eastAsia" w:ascii="仿宋_GB2312" w:hAnsi="仿宋_GB2312" w:eastAsia="仿宋_GB2312" w:cs="宋体"/>
          <w:kern w:val="1"/>
          <w:sz w:val="32"/>
          <w:szCs w:val="32"/>
          <w:lang w:eastAsia="zh-CN"/>
        </w:rPr>
        <w:t>第二年起</w:t>
      </w:r>
      <w:r>
        <w:rPr>
          <w:rFonts w:hint="eastAsia" w:ascii="仿宋_GB2312" w:hAnsi="仿宋_GB2312" w:eastAsia="仿宋_GB2312" w:cs="宋体"/>
          <w:kern w:val="1"/>
          <w:sz w:val="32"/>
          <w:szCs w:val="32"/>
        </w:rPr>
        <w:t>每个租赁年度按上一年租金的</w:t>
      </w:r>
      <w:r>
        <w:rPr>
          <w:rFonts w:hint="eastAsia" w:ascii="仿宋_GB2312" w:hAnsi="仿宋_GB2312" w:eastAsia="仿宋_GB2312" w:cs="宋体"/>
          <w:kern w:val="1"/>
          <w:sz w:val="32"/>
          <w:szCs w:val="32"/>
          <w:lang w:val="en-US" w:eastAsia="zh-CN"/>
        </w:rPr>
        <w:t>5</w:t>
      </w:r>
      <w:r>
        <w:rPr>
          <w:rFonts w:hint="eastAsia" w:ascii="仿宋_GB2312" w:hAnsi="仿宋_GB2312" w:eastAsia="仿宋_GB2312" w:cs="宋体"/>
          <w:kern w:val="1"/>
          <w:sz w:val="32"/>
          <w:szCs w:val="32"/>
        </w:rPr>
        <w:t>％递增。</w:t>
      </w:r>
    </w:p>
    <w:p>
      <w:pPr>
        <w:pStyle w:val="3"/>
        <w:bidi w:val="0"/>
        <w:rPr>
          <w:rFonts w:hint="eastAsia" w:ascii="仿宋_GB2312" w:hAnsi="仿宋_GB2312" w:eastAsia="仿宋_GB2312" w:cs="宋体"/>
          <w:kern w:val="1"/>
          <w:sz w:val="32"/>
          <w:szCs w:val="32"/>
          <w:lang w:val="en-US" w:eastAsia="zh-CN" w:bidi="ar-SA"/>
        </w:rPr>
      </w:pPr>
      <w:r>
        <w:rPr>
          <w:rFonts w:hint="eastAsia" w:ascii="仿宋_GB2312" w:hAnsi="仿宋_GB2312" w:eastAsia="仿宋_GB2312" w:cs="宋体"/>
          <w:kern w:val="1"/>
          <w:sz w:val="32"/>
          <w:szCs w:val="32"/>
          <w:lang w:val="en-US" w:eastAsia="zh-CN" w:bidi="ar-SA"/>
        </w:rPr>
        <w:t>5.竞租保证金：各标的物的竞价保证金详见第3页附表，以现金的方式在开标当天当场提交（信封密封，并签名盖章），</w:t>
      </w:r>
    </w:p>
    <w:p>
      <w:pPr>
        <w:pStyle w:val="3"/>
        <w:bidi w:val="0"/>
        <w:ind w:left="0" w:leftChars="0" w:firstLine="0" w:firstLineChars="0"/>
        <w:rPr>
          <w:rFonts w:hint="eastAsia" w:ascii="仿宋_GB2312" w:hAnsi="仿宋_GB2312" w:eastAsia="仿宋_GB2312" w:cs="宋体"/>
          <w:kern w:val="1"/>
          <w:sz w:val="32"/>
          <w:szCs w:val="32"/>
          <w:lang w:val="en-US" w:eastAsia="zh-CN" w:bidi="ar-SA"/>
        </w:rPr>
      </w:pPr>
      <w:r>
        <w:rPr>
          <w:rFonts w:hint="eastAsia" w:ascii="仿宋_GB2312" w:hAnsi="仿宋_GB2312" w:eastAsia="仿宋_GB2312" w:cs="宋体"/>
          <w:kern w:val="1"/>
          <w:sz w:val="32"/>
          <w:szCs w:val="32"/>
          <w:lang w:val="en-US" w:eastAsia="zh-CN" w:bidi="ar-SA"/>
        </w:rPr>
        <w:t>未中标的投标人的保证金当场退还，中标人的竞价保证金于签订合同后5日历天内（无息）退还。未缴纳保证金者，不得参与竞标，若中标者毁约，则竞价保证金不予退还。</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hint="eastAsia" w:ascii="仿宋_GB2312" w:hAnsi="仿宋_GB2312" w:eastAsia="仿宋_GB2312" w:cs="宋体"/>
          <w:kern w:val="1"/>
          <w:sz w:val="32"/>
          <w:szCs w:val="32"/>
          <w:lang w:val="en-US" w:eastAsia="zh-CN"/>
        </w:rPr>
        <w:t>6</w:t>
      </w:r>
      <w:r>
        <w:rPr>
          <w:rFonts w:ascii="仿宋_GB2312" w:hAnsi="仿宋_GB2312" w:eastAsia="仿宋_GB2312" w:cs="宋体"/>
          <w:kern w:val="1"/>
          <w:sz w:val="32"/>
          <w:szCs w:val="32"/>
        </w:rPr>
        <w:t>.履约保证金：</w:t>
      </w:r>
      <w:r>
        <w:rPr>
          <w:rFonts w:hint="eastAsia" w:ascii="仿宋_GB2312" w:hAnsi="仿宋_GB2312" w:eastAsia="仿宋_GB2312" w:cs="宋体"/>
          <w:kern w:val="1"/>
          <w:sz w:val="32"/>
          <w:szCs w:val="32"/>
        </w:rPr>
        <w:t>3</w:t>
      </w:r>
      <w:r>
        <w:rPr>
          <w:rFonts w:ascii="仿宋_GB2312" w:hAnsi="仿宋_GB2312" w:eastAsia="仿宋_GB2312" w:cs="宋体"/>
          <w:kern w:val="1"/>
          <w:sz w:val="32"/>
          <w:szCs w:val="32"/>
        </w:rPr>
        <w:t>个月</w:t>
      </w:r>
      <w:r>
        <w:rPr>
          <w:rFonts w:hint="eastAsia" w:ascii="仿宋_GB2312" w:hAnsi="仿宋_GB2312" w:eastAsia="仿宋_GB2312" w:cs="宋体"/>
          <w:kern w:val="1"/>
          <w:sz w:val="32"/>
          <w:szCs w:val="32"/>
        </w:rPr>
        <w:t>的</w:t>
      </w:r>
      <w:r>
        <w:rPr>
          <w:rFonts w:hint="eastAsia" w:ascii="仿宋_GB2312" w:hAnsi="仿宋_GB2312" w:eastAsia="仿宋_GB2312" w:cs="宋体"/>
          <w:kern w:val="1"/>
          <w:sz w:val="32"/>
          <w:szCs w:val="32"/>
          <w:lang w:eastAsia="zh-CN"/>
        </w:rPr>
        <w:t>首年月</w:t>
      </w:r>
      <w:r>
        <w:rPr>
          <w:rFonts w:ascii="仿宋_GB2312" w:hAnsi="仿宋_GB2312" w:eastAsia="仿宋_GB2312" w:cs="宋体"/>
          <w:kern w:val="1"/>
          <w:sz w:val="32"/>
          <w:szCs w:val="32"/>
        </w:rPr>
        <w:t>租金</w:t>
      </w:r>
      <w:r>
        <w:rPr>
          <w:rFonts w:hint="eastAsia" w:ascii="仿宋_GB2312" w:hAnsi="仿宋_GB2312" w:eastAsia="仿宋_GB2312" w:cs="宋体"/>
          <w:kern w:val="1"/>
          <w:sz w:val="32"/>
          <w:szCs w:val="32"/>
        </w:rPr>
        <w:t>。</w:t>
      </w:r>
    </w:p>
    <w:p>
      <w:pPr>
        <w:adjustRightInd w:val="0"/>
        <w:snapToGrid w:val="0"/>
        <w:spacing w:line="560" w:lineRule="exact"/>
        <w:ind w:firstLine="640" w:firstLineChars="200"/>
        <w:rPr>
          <w:rFonts w:hint="eastAsia" w:ascii="仿宋_GB2312" w:hAnsi="仿宋_GB2312" w:eastAsia="仿宋_GB2312" w:cs="宋体"/>
          <w:kern w:val="1"/>
          <w:sz w:val="32"/>
          <w:szCs w:val="32"/>
          <w:lang w:val="en-US" w:eastAsia="zh-CN" w:bidi="ar-SA"/>
        </w:rPr>
      </w:pPr>
      <w:r>
        <w:rPr>
          <w:rFonts w:hint="eastAsia" w:ascii="仿宋_GB2312" w:hAnsi="仿宋_GB2312" w:eastAsia="仿宋_GB2312" w:cs="宋体"/>
          <w:kern w:val="1"/>
          <w:sz w:val="32"/>
          <w:szCs w:val="32"/>
          <w:lang w:val="en-US" w:eastAsia="zh-CN"/>
        </w:rPr>
        <w:t>7</w:t>
      </w:r>
      <w:r>
        <w:rPr>
          <w:rFonts w:ascii="仿宋_GB2312" w:hAnsi="仿宋_GB2312" w:eastAsia="仿宋_GB2312" w:cs="宋体"/>
          <w:kern w:val="1"/>
          <w:sz w:val="32"/>
          <w:szCs w:val="32"/>
        </w:rPr>
        <w:t>.竞</w:t>
      </w:r>
      <w:r>
        <w:rPr>
          <w:rFonts w:hint="eastAsia" w:ascii="仿宋_GB2312" w:hAnsi="仿宋_GB2312" w:eastAsia="仿宋_GB2312" w:cs="宋体"/>
          <w:kern w:val="1"/>
          <w:sz w:val="32"/>
          <w:szCs w:val="32"/>
          <w:lang w:eastAsia="zh-CN"/>
        </w:rPr>
        <w:t>租</w:t>
      </w:r>
      <w:r>
        <w:rPr>
          <w:rFonts w:ascii="仿宋_GB2312" w:hAnsi="仿宋_GB2312" w:eastAsia="仿宋_GB2312" w:cs="宋体"/>
          <w:kern w:val="1"/>
          <w:sz w:val="32"/>
          <w:szCs w:val="32"/>
        </w:rPr>
        <w:t>方式：</w:t>
      </w:r>
      <w:r>
        <w:rPr>
          <w:rFonts w:hint="eastAsia" w:ascii="仿宋_GB2312" w:hAnsi="仿宋_GB2312" w:eastAsia="仿宋_GB2312" w:cs="宋体"/>
          <w:kern w:val="1"/>
          <w:sz w:val="32"/>
          <w:szCs w:val="32"/>
          <w:lang w:eastAsia="zh-CN"/>
        </w:rPr>
        <w:t>密封式增价报价，</w:t>
      </w:r>
      <w:r>
        <w:rPr>
          <w:rFonts w:ascii="仿宋_GB2312" w:hAnsi="仿宋_GB2312" w:eastAsia="仿宋_GB2312" w:cs="宋体"/>
          <w:kern w:val="1"/>
          <w:sz w:val="32"/>
          <w:szCs w:val="32"/>
        </w:rPr>
        <w:t>以最高报价</w:t>
      </w:r>
      <w:r>
        <w:rPr>
          <w:rFonts w:hint="eastAsia" w:ascii="仿宋_GB2312" w:hAnsi="仿宋_GB2312" w:eastAsia="仿宋_GB2312" w:cs="宋体"/>
          <w:kern w:val="1"/>
          <w:sz w:val="32"/>
          <w:szCs w:val="32"/>
          <w:lang w:eastAsia="zh-CN"/>
        </w:rPr>
        <w:t>者</w:t>
      </w:r>
      <w:r>
        <w:rPr>
          <w:rFonts w:ascii="仿宋_GB2312" w:hAnsi="仿宋_GB2312" w:eastAsia="仿宋_GB2312" w:cs="宋体"/>
          <w:kern w:val="1"/>
          <w:sz w:val="32"/>
          <w:szCs w:val="32"/>
        </w:rPr>
        <w:t>确定承租方。</w:t>
      </w:r>
      <w:r>
        <w:rPr>
          <w:rFonts w:hint="eastAsia" w:ascii="仿宋_GB2312" w:hAnsi="仿宋_GB2312" w:eastAsia="仿宋_GB2312" w:cs="宋体"/>
          <w:kern w:val="1"/>
          <w:sz w:val="32"/>
          <w:szCs w:val="32"/>
          <w:lang w:eastAsia="zh-CN"/>
        </w:rPr>
        <w:t>（</w:t>
      </w:r>
      <w:r>
        <w:rPr>
          <w:rFonts w:hint="eastAsia" w:ascii="仿宋_GB2312" w:hAnsi="仿宋_GB2312" w:eastAsia="仿宋_GB2312" w:cs="宋体"/>
          <w:kern w:val="1"/>
          <w:sz w:val="32"/>
          <w:szCs w:val="32"/>
          <w:lang w:val="en-US" w:eastAsia="zh-CN" w:bidi="ar-SA"/>
        </w:rPr>
        <w:t>出现同等报价且为最高报价的，由报价相同者进行第二轮报价。）</w:t>
      </w:r>
    </w:p>
    <w:p>
      <w:pPr>
        <w:adjustRightInd w:val="0"/>
        <w:snapToGrid w:val="0"/>
        <w:spacing w:line="560" w:lineRule="exact"/>
        <w:ind w:firstLine="640" w:firstLineChars="200"/>
        <w:rPr>
          <w:rFonts w:ascii="黑体" w:hAnsi="黑体" w:eastAsia="黑体" w:cs="宋体"/>
          <w:kern w:val="1"/>
          <w:sz w:val="32"/>
          <w:szCs w:val="32"/>
          <w:shd w:val="clear" w:color="auto" w:fill="FFFFFF"/>
        </w:rPr>
      </w:pPr>
      <w:r>
        <w:rPr>
          <w:rFonts w:ascii="黑体" w:hAnsi="黑体" w:eastAsia="黑体" w:cs="宋体"/>
          <w:kern w:val="1"/>
          <w:sz w:val="32"/>
          <w:szCs w:val="32"/>
          <w:shd w:val="clear" w:color="auto" w:fill="FFFFFF"/>
        </w:rPr>
        <w:t>四、承租方应具备的基本条件</w:t>
      </w:r>
    </w:p>
    <w:p>
      <w:pPr>
        <w:ind w:firstLine="640" w:firstLineChars="200"/>
        <w:rPr>
          <w:rFonts w:ascii="仿宋_GB2312" w:hAnsi="仿宋_GB2312" w:eastAsia="仿宋_GB2312" w:cs="宋体"/>
          <w:kern w:val="1"/>
          <w:sz w:val="32"/>
          <w:szCs w:val="32"/>
        </w:rPr>
      </w:pPr>
      <w:r>
        <w:rPr>
          <w:rFonts w:ascii="仿宋_GB2312" w:hAnsi="仿宋_GB2312" w:eastAsia="仿宋_GB2312" w:cs="宋体"/>
          <w:kern w:val="1"/>
          <w:sz w:val="32"/>
          <w:szCs w:val="32"/>
        </w:rPr>
        <w:t>1、</w:t>
      </w:r>
      <w:r>
        <w:rPr>
          <w:rFonts w:hint="eastAsia" w:ascii="仿宋_GB2312" w:hAnsi="仿宋_GB2312" w:eastAsia="仿宋_GB2312" w:cs="宋体"/>
          <w:kern w:val="1"/>
          <w:sz w:val="32"/>
          <w:szCs w:val="32"/>
        </w:rPr>
        <w:t>资信良好，无不良信用记录，且能严格按照《房屋租赁合同》约定履行的具有独立法人资格且有效存续的企事业单位，以及具有完全民事行为能力的自然人</w:t>
      </w:r>
      <w:r>
        <w:rPr>
          <w:rFonts w:ascii="仿宋_GB2312" w:hAnsi="仿宋_GB2312" w:eastAsia="仿宋_GB2312" w:cs="宋体"/>
          <w:kern w:val="1"/>
          <w:sz w:val="32"/>
          <w:szCs w:val="32"/>
        </w:rPr>
        <w:t>。</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lang w:val="en-US" w:eastAsia="zh-CN"/>
        </w:rPr>
        <w:t>2</w:t>
      </w:r>
      <w:r>
        <w:rPr>
          <w:rFonts w:ascii="仿宋_GB2312" w:hAnsi="仿宋_GB2312" w:eastAsia="仿宋_GB2312" w:cs="宋体"/>
          <w:kern w:val="1"/>
          <w:sz w:val="32"/>
          <w:szCs w:val="32"/>
        </w:rPr>
        <w:t xml:space="preserve">、与福建省盐业集团有限责任公司及权属单位曾有租赁关系但有违约行为的不能参加竞租。 </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lang w:val="en-US" w:eastAsia="zh-CN"/>
        </w:rPr>
        <w:t>3</w:t>
      </w:r>
      <w:r>
        <w:rPr>
          <w:rFonts w:ascii="仿宋_GB2312" w:hAnsi="仿宋_GB2312" w:eastAsia="仿宋_GB2312" w:cs="宋体"/>
          <w:kern w:val="1"/>
          <w:sz w:val="32"/>
          <w:szCs w:val="32"/>
        </w:rPr>
        <w:t>、竞租人未被列入全国法院失信被执行人名单。</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4、不接受联合体竞租。</w:t>
      </w:r>
    </w:p>
    <w:p>
      <w:pPr>
        <w:adjustRightInd w:val="0"/>
        <w:snapToGrid w:val="0"/>
        <w:spacing w:line="560" w:lineRule="exact"/>
        <w:ind w:firstLine="640" w:firstLineChars="200"/>
        <w:rPr>
          <w:rFonts w:ascii="黑体" w:hAnsi="黑体" w:eastAsia="黑体" w:cs="宋体"/>
          <w:kern w:val="1"/>
          <w:sz w:val="32"/>
          <w:szCs w:val="32"/>
          <w:shd w:val="clear" w:color="auto" w:fill="FFFFFF"/>
        </w:rPr>
      </w:pPr>
      <w:r>
        <w:rPr>
          <w:rFonts w:ascii="黑体" w:hAnsi="黑体" w:eastAsia="黑体" w:cs="宋体"/>
          <w:kern w:val="1"/>
          <w:sz w:val="32"/>
          <w:szCs w:val="32"/>
          <w:shd w:val="clear" w:color="auto" w:fill="FFFFFF"/>
        </w:rPr>
        <w:t>五、承租方须接受的承租条件</w:t>
      </w:r>
    </w:p>
    <w:p>
      <w:pPr>
        <w:adjustRightInd w:val="0"/>
        <w:snapToGrid w:val="0"/>
        <w:spacing w:line="560" w:lineRule="exact"/>
        <w:ind w:firstLine="640" w:firstLineChars="200"/>
        <w:rPr>
          <w:rFonts w:ascii="仿宋_GB2312" w:hAnsi="仿宋_GB2312" w:eastAsia="仿宋_GB2312" w:cs="宋体"/>
          <w:kern w:val="1"/>
          <w:sz w:val="32"/>
          <w:szCs w:val="32"/>
        </w:rPr>
      </w:pPr>
      <w:r>
        <w:rPr>
          <w:rFonts w:ascii="仿宋_GB2312" w:hAnsi="仿宋_GB2312" w:eastAsia="仿宋_GB2312" w:cs="宋体"/>
          <w:kern w:val="1"/>
          <w:sz w:val="32"/>
          <w:szCs w:val="32"/>
        </w:rPr>
        <w:t>1、租赁标的以现状出租，竞租者自行查勘现场，并自行承担查勘过程的一切费用，全部承担查勘中任何因未全面了解或误解现场实际状况而导致的一切后果。承租方不得转租、转借、调换租赁标的，并严格履行《</w:t>
      </w:r>
      <w:r>
        <w:rPr>
          <w:rFonts w:hint="eastAsia" w:ascii="仿宋_GB2312" w:hAnsi="仿宋_GB2312" w:eastAsia="仿宋_GB2312" w:cs="宋体"/>
          <w:kern w:val="1"/>
          <w:sz w:val="32"/>
          <w:szCs w:val="32"/>
        </w:rPr>
        <w:t>房屋</w:t>
      </w:r>
      <w:r>
        <w:rPr>
          <w:rFonts w:ascii="仿宋_GB2312" w:hAnsi="仿宋_GB2312" w:eastAsia="仿宋_GB2312" w:cs="宋体"/>
          <w:kern w:val="1"/>
          <w:sz w:val="32"/>
          <w:szCs w:val="32"/>
        </w:rPr>
        <w:t>租赁合同》；若承租方与出租方签订本项合同并缴纳了规定金额的履约保证金后，因其他原因拖延了承租方的实际入驻时间，那么已签合同的起、止日期可以顺延，具体顺延时间以出租方通知为准。</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hint="eastAsia" w:ascii="仿宋_GB2312" w:hAnsi="仿宋_GB2312" w:eastAsia="仿宋_GB2312" w:cs="宋体"/>
          <w:kern w:val="1"/>
          <w:sz w:val="32"/>
          <w:szCs w:val="32"/>
        </w:rPr>
        <w:t>2</w:t>
      </w:r>
      <w:r>
        <w:rPr>
          <w:rFonts w:ascii="仿宋_GB2312" w:hAnsi="仿宋_GB2312" w:eastAsia="仿宋_GB2312" w:cs="宋体"/>
          <w:kern w:val="1"/>
          <w:sz w:val="32"/>
          <w:szCs w:val="32"/>
        </w:rPr>
        <w:t>、承租方未经出租方书面同意，</w:t>
      </w:r>
      <w:r>
        <w:rPr>
          <w:rFonts w:hint="eastAsia" w:ascii="仿宋_GB2312" w:hAnsi="仿宋_GB2312" w:eastAsia="仿宋_GB2312" w:cs="宋体"/>
          <w:kern w:val="1"/>
          <w:sz w:val="32"/>
          <w:szCs w:val="32"/>
        </w:rPr>
        <w:t>不得对租赁建筑物、仓库、空地等出租方红线产权内进行施工搭盖并不得使用空地。</w:t>
      </w:r>
      <w:r>
        <w:rPr>
          <w:rFonts w:hint="eastAsia" w:ascii="仿宋_GB2312" w:eastAsia="仿宋_GB2312"/>
          <w:bCs/>
          <w:sz w:val="32"/>
          <w:szCs w:val="32"/>
        </w:rPr>
        <w:t>承租方在租赁期内经出租方同意，在空地上的固定投资及临时搭盖等建筑（如：地面、墙面、吊顶、灯具、隔断及门窗水电设备等入墙入地入顶的固定装修和设备）在租赁期满后不得拆卸，对承租方限期未搬离的物品，出租方有权将其作为废弃物品自行处分。同时承租方应做好卫生，清理垃圾，将租赁物完整无偿移交给出租方，</w:t>
      </w:r>
      <w:r>
        <w:rPr>
          <w:rFonts w:hint="eastAsia" w:ascii="仿宋_GB2312" w:hAnsi="仿宋_GB2312" w:eastAsia="仿宋_GB2312" w:cs="宋体"/>
          <w:kern w:val="1"/>
          <w:sz w:val="32"/>
          <w:szCs w:val="32"/>
        </w:rPr>
        <w:t>如有违反，出租方有权提前终止本合同，没收履约保证金。</w:t>
      </w:r>
    </w:p>
    <w:p>
      <w:pPr>
        <w:spacing w:line="600" w:lineRule="exact"/>
        <w:jc w:val="left"/>
        <w:rPr>
          <w:rFonts w:ascii="仿宋_GB2312" w:hAnsi="宋体" w:eastAsia="仿宋_GB2312"/>
          <w:sz w:val="32"/>
          <w:szCs w:val="32"/>
        </w:rPr>
      </w:pPr>
      <w:r>
        <w:rPr>
          <w:rFonts w:hint="eastAsia" w:ascii="仿宋_GB2312" w:hAnsi="宋体" w:eastAsia="仿宋_GB2312"/>
          <w:sz w:val="32"/>
          <w:szCs w:val="32"/>
        </w:rPr>
        <w:t xml:space="preserve">   3、租赁合同生效后至合同租赁期限届满前，所发生的装修及修缮费用（包括但不限于门窗、电、水、排污、各类管线、各类设施等），出租方概不负责，均由承租方自行承担。租赁期间，未经出租方书面同意，承租方不得擅自拆除、改建或更改外观、承重部位、主体结构或任何附属设施。承租方任何二次装修、升级改造的启动以及改造、装修方案（含图纸）需委托有资质的第三方机构出具合格证明并报出租方书面审核同意，但此审核不代表出租方对承租方装修合法性、合理性及其质量的认可。装修改造应依法依程序向消防等有关部门报备报批或申报验收的，承租方必须自行负责完成报备报批或报验手续，并取得（包括但不限于房屋装修设施的消防手续、验收许可、环保及工商等）有关部门的批准或验收文件，出租方仅提供自身已有的书面材料（产权证、营业执照）。二次装修、升级改造的相关报备报批报验等费用由承租方自行承担。二次装修、升级改造施工的质量必须符合国家有关的法律法规要求，并对装修改造过程中的消防安全、施工安全、环保达标等事项负责，接受政府主管部门和出租方的监督和检查。装修、改造完工后，需通过消防等相关部门验收合格后方可使用。</w:t>
      </w:r>
    </w:p>
    <w:p>
      <w:pPr>
        <w:spacing w:line="556" w:lineRule="exact"/>
        <w:rPr>
          <w:rFonts w:ascii="仿宋_GB2312" w:hAnsi="仿宋_GB2312" w:eastAsia="仿宋_GB2312" w:cs="宋体"/>
          <w:kern w:val="1"/>
          <w:sz w:val="32"/>
          <w:szCs w:val="32"/>
        </w:rPr>
      </w:pPr>
      <w:r>
        <w:rPr>
          <w:rFonts w:hint="eastAsia" w:ascii="仿宋_GB2312" w:hAnsi="仿宋_GB2312" w:eastAsia="仿宋_GB2312" w:cs="宋体"/>
          <w:kern w:val="1"/>
          <w:sz w:val="32"/>
          <w:szCs w:val="32"/>
        </w:rPr>
        <w:t xml:space="preserve">    </w:t>
      </w:r>
      <w:r>
        <w:rPr>
          <w:rFonts w:ascii="仿宋_GB2312" w:hAnsi="仿宋_GB2312" w:eastAsia="仿宋_GB2312" w:cs="宋体"/>
          <w:kern w:val="1"/>
          <w:sz w:val="32"/>
          <w:szCs w:val="32"/>
        </w:rPr>
        <w:t>4、</w:t>
      </w:r>
      <w:r>
        <w:rPr>
          <w:rFonts w:hint="eastAsia" w:ascii="仿宋_GB2312" w:hAnsi="仿宋_GB2312" w:eastAsia="仿宋_GB2312" w:cs="宋体"/>
          <w:kern w:val="1"/>
          <w:sz w:val="32"/>
          <w:szCs w:val="32"/>
        </w:rPr>
        <w:t>租赁期满或合同解除后，承租方应立即将房屋腾退交还出租方；逾期交还不超过十五天的，应按租赁期满或合同解除之前最近一期租金标准的双倍计付占用费；超过十五天则按三倍计付占用费。</w:t>
      </w:r>
      <w:r>
        <w:rPr>
          <w:rFonts w:ascii="仿宋_GB2312" w:hAnsi="仿宋_GB2312" w:eastAsia="仿宋_GB2312" w:cs="宋体"/>
          <w:kern w:val="1"/>
          <w:sz w:val="32"/>
          <w:szCs w:val="32"/>
        </w:rPr>
        <w:t>承租方逾期</w:t>
      </w:r>
      <w:r>
        <w:rPr>
          <w:rFonts w:hint="eastAsia" w:ascii="仿宋_GB2312" w:hAnsi="仿宋_GB2312" w:eastAsia="仿宋_GB2312" w:cs="宋体"/>
          <w:kern w:val="1"/>
          <w:sz w:val="32"/>
          <w:szCs w:val="32"/>
        </w:rPr>
        <w:t>交</w:t>
      </w:r>
      <w:r>
        <w:rPr>
          <w:rFonts w:ascii="仿宋_GB2312" w:hAnsi="仿宋_GB2312" w:eastAsia="仿宋_GB2312" w:cs="宋体"/>
          <w:kern w:val="1"/>
          <w:sz w:val="32"/>
          <w:szCs w:val="32"/>
        </w:rPr>
        <w:t>还，除承担因此造成的法律、经济责任外，出租方有权强制清场。</w:t>
      </w:r>
    </w:p>
    <w:p>
      <w:pPr>
        <w:adjustRightInd w:val="0"/>
        <w:snapToGrid w:val="0"/>
        <w:spacing w:line="560" w:lineRule="exact"/>
        <w:ind w:firstLine="640" w:firstLineChars="200"/>
        <w:rPr>
          <w:rFonts w:ascii="仿宋_GB2312" w:hAnsi="仿宋_GB2312" w:eastAsia="仿宋_GB2312" w:cs="宋体"/>
          <w:kern w:val="1"/>
          <w:sz w:val="32"/>
          <w:szCs w:val="32"/>
        </w:rPr>
      </w:pPr>
      <w:r>
        <w:rPr>
          <w:rFonts w:ascii="仿宋_GB2312" w:hAnsi="仿宋_GB2312" w:eastAsia="仿宋_GB2312" w:cs="宋体"/>
          <w:kern w:val="1"/>
          <w:sz w:val="32"/>
          <w:szCs w:val="32"/>
        </w:rPr>
        <w:t>5、承租方应严格遵守《房屋租赁合同》的各项规定，按时足额缴纳租金；仓库、办公等包括但不限于用水、用电、消防、消控中心、安防等安全及管理事宜均由承租方负责管理，自行承担因管理不善导致的一切安全及经济责任，并自行缴纳水、电等各项费用，自行承担拖欠费用造成的一切后果。</w:t>
      </w:r>
    </w:p>
    <w:p>
      <w:pPr>
        <w:spacing w:line="556" w:lineRule="exact"/>
        <w:ind w:firstLine="640"/>
        <w:rPr>
          <w:rFonts w:ascii="仿宋_GB2312" w:hAnsi="仿宋_GB2312" w:eastAsia="仿宋_GB2312" w:cs="宋体"/>
          <w:kern w:val="1"/>
          <w:sz w:val="32"/>
          <w:szCs w:val="32"/>
        </w:rPr>
      </w:pPr>
      <w:r>
        <w:rPr>
          <w:rFonts w:ascii="仿宋_GB2312" w:hAnsi="仿宋_GB2312" w:eastAsia="仿宋_GB2312" w:cs="宋体"/>
          <w:kern w:val="1"/>
          <w:sz w:val="32"/>
          <w:szCs w:val="32"/>
        </w:rPr>
        <w:t>6.承租方对租赁房产的装修、改造等须按福建省</w:t>
      </w:r>
      <w:r>
        <w:rPr>
          <w:rFonts w:hint="eastAsia" w:ascii="仿宋_GB2312" w:hAnsi="仿宋_GB2312" w:eastAsia="仿宋_GB2312" w:cs="宋体"/>
          <w:kern w:val="1"/>
          <w:sz w:val="32"/>
          <w:szCs w:val="32"/>
        </w:rPr>
        <w:t>漳州</w:t>
      </w:r>
      <w:r>
        <w:rPr>
          <w:rFonts w:ascii="仿宋_GB2312" w:hAnsi="仿宋_GB2312" w:eastAsia="仿宋_GB2312" w:cs="宋体"/>
          <w:kern w:val="1"/>
          <w:sz w:val="32"/>
          <w:szCs w:val="32"/>
        </w:rPr>
        <w:t>市有关规范进行，</w:t>
      </w:r>
      <w:r>
        <w:rPr>
          <w:rFonts w:hint="eastAsia" w:ascii="仿宋_GB2312" w:hAnsi="仿宋_GB2312" w:eastAsia="仿宋_GB2312" w:cs="宋体"/>
          <w:kern w:val="1"/>
          <w:sz w:val="32"/>
          <w:szCs w:val="32"/>
        </w:rPr>
        <w:t>且装修方案须征得出租方书面同意后方可实施，承租方</w:t>
      </w:r>
      <w:r>
        <w:rPr>
          <w:rFonts w:ascii="仿宋_GB2312" w:hAnsi="仿宋_GB2312" w:eastAsia="仿宋_GB2312" w:cs="宋体"/>
          <w:kern w:val="1"/>
          <w:sz w:val="32"/>
          <w:szCs w:val="32"/>
        </w:rPr>
        <w:t>自行负责办理政府批准的有关手续（包括但不限于房产装修设施的消防手续、验收许可、环保及工商等），</w:t>
      </w:r>
      <w:r>
        <w:rPr>
          <w:rFonts w:hint="eastAsia" w:ascii="仿宋_GB2312" w:hAnsi="仿宋_GB2312" w:eastAsia="仿宋_GB2312" w:cs="宋体"/>
          <w:kern w:val="1"/>
          <w:sz w:val="32"/>
          <w:szCs w:val="32"/>
        </w:rPr>
        <w:t>出租方仅提供自身已有的书面材料（如产权证、营业执照）。承租方如被相关部门处罚，自行承担经济及法律责任，并且赔偿由此造成出租方的损失。</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ascii="仿宋_GB2312" w:hAnsi="仿宋_GB2312" w:eastAsia="仿宋_GB2312" w:cs="宋体"/>
          <w:kern w:val="1"/>
          <w:sz w:val="32"/>
          <w:szCs w:val="32"/>
        </w:rPr>
        <w:t>7.租赁过程产生的各种税费由出租方、承租方按国家相关规定各自承担，如有未规定的，由承租方承担。承租方</w:t>
      </w:r>
      <w:r>
        <w:rPr>
          <w:rFonts w:hint="eastAsia" w:ascii="仿宋_GB2312" w:hAnsi="仿宋_GB2312" w:eastAsia="仿宋_GB2312" w:cs="宋体"/>
          <w:kern w:val="1"/>
          <w:sz w:val="32"/>
          <w:szCs w:val="32"/>
        </w:rPr>
        <w:t>应自行承担其经营行为而产生的所有税费（包括治安卫生费、市政城管费、税费等），承担因拖欠费用所引发的所有责任。</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8.租赁标的外部广告位归出租方所有,承租方在标的物的范围内有权设置广告，广告的设置必须符合相关规定，承租方若需使用，须向出租方提交方案并且经过出租方同意后，根据规定办理广告审批手续，经相关部门批准后方可使用，若与承租方经营无关的广告，承租方有偿使用，收益归出租方。租赁期间承租方的广告牌安全责任由承租方负责；因广告设置引起的纠纷由承租方负责解决，与出租方无关，如因承租方设置广告造成出租方或“第三方”的损害，承租方必须负责赔偿出租方与“第三方”的经济损失及承担法律责任。</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9</w:t>
      </w:r>
      <w:r>
        <w:rPr>
          <w:rFonts w:ascii="仿宋_GB2312" w:hAnsi="仿宋_GB2312" w:eastAsia="仿宋_GB2312" w:cs="宋体"/>
          <w:kern w:val="1"/>
          <w:sz w:val="32"/>
          <w:szCs w:val="32"/>
        </w:rPr>
        <w:t>. 若遇政府决定征收房屋或其他法定不可抗力因素导致合同意外终止，双方互不承担责任，租金按实结算，多还少补；如被征收房屋价值的补偿中包含承租方自行装修部分的，按房地产价格评估机构的实际估价金额，待出租方取得补偿款后，据实支付给承租方。</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hint="eastAsia" w:ascii="仿宋_GB2312" w:hAnsi="仿宋_GB2312" w:eastAsia="仿宋_GB2312" w:cs="宋体"/>
          <w:kern w:val="1"/>
          <w:sz w:val="32"/>
          <w:szCs w:val="32"/>
        </w:rPr>
        <w:t>10、承租方若为企业法人单位（国有企业除外），必须由企业及企业法定代表人个人共同作为租赁合同的承租方，签订租赁合同，共同承担并履行合同全部义务。</w:t>
      </w:r>
    </w:p>
    <w:p>
      <w:pPr>
        <w:spacing w:line="500" w:lineRule="exact"/>
        <w:ind w:firstLine="640" w:firstLineChars="200"/>
        <w:rPr>
          <w:rFonts w:hint="eastAsia" w:ascii="仿宋_GB2312" w:hAnsi="仿宋_GB2312" w:eastAsia="仿宋_GB2312" w:cs="宋体"/>
          <w:kern w:val="1"/>
          <w:sz w:val="32"/>
          <w:szCs w:val="32"/>
          <w:lang w:eastAsia="zh-CN"/>
        </w:rPr>
      </w:pPr>
      <w:r>
        <w:rPr>
          <w:rFonts w:hint="eastAsia" w:ascii="仿宋_GB2312" w:hAnsi="仿宋_GB2312" w:eastAsia="仿宋_GB2312" w:cs="宋体"/>
          <w:kern w:val="1"/>
          <w:sz w:val="32"/>
          <w:szCs w:val="32"/>
        </w:rPr>
        <w:t>11.</w:t>
      </w:r>
      <w:r>
        <w:rPr>
          <w:rFonts w:hint="eastAsia" w:ascii="仿宋" w:hAnsi="仿宋" w:eastAsia="仿宋"/>
          <w:sz w:val="32"/>
          <w:szCs w:val="32"/>
        </w:rPr>
        <w:t>原承租户在价格同等条件下享有优先权。</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12.</w:t>
      </w:r>
      <w:r>
        <w:rPr>
          <w:rFonts w:ascii="仿宋_GB2312" w:hAnsi="仿宋_GB2312" w:eastAsia="仿宋_GB2312" w:cs="宋体"/>
          <w:kern w:val="1"/>
          <w:sz w:val="32"/>
          <w:szCs w:val="32"/>
        </w:rPr>
        <w:t>其他必须接受的条件详见《</w:t>
      </w:r>
      <w:r>
        <w:rPr>
          <w:rFonts w:hint="eastAsia" w:ascii="仿宋_GB2312" w:hAnsi="仿宋_GB2312" w:eastAsia="仿宋_GB2312" w:cs="宋体"/>
          <w:kern w:val="1"/>
          <w:sz w:val="32"/>
          <w:szCs w:val="32"/>
        </w:rPr>
        <w:t>房屋</w:t>
      </w:r>
      <w:r>
        <w:rPr>
          <w:rFonts w:ascii="仿宋_GB2312" w:hAnsi="仿宋_GB2312" w:eastAsia="仿宋_GB2312" w:cs="宋体"/>
          <w:kern w:val="1"/>
          <w:sz w:val="32"/>
          <w:szCs w:val="32"/>
        </w:rPr>
        <w:t>租赁合同》</w:t>
      </w:r>
      <w:r>
        <w:rPr>
          <w:rFonts w:hint="eastAsia" w:ascii="仿宋_GB2312" w:hAnsi="仿宋_GB2312" w:eastAsia="仿宋_GB2312" w:cs="宋体"/>
          <w:kern w:val="1"/>
          <w:sz w:val="32"/>
          <w:szCs w:val="32"/>
        </w:rPr>
        <w:t>，</w:t>
      </w:r>
      <w:r>
        <w:rPr>
          <w:rFonts w:ascii="仿宋_GB2312" w:hAnsi="仿宋_GB2312" w:eastAsia="仿宋_GB2312" w:cs="宋体"/>
          <w:kern w:val="1"/>
          <w:sz w:val="32"/>
          <w:szCs w:val="32"/>
        </w:rPr>
        <w:t>产权所有人拥有最终解释权。</w:t>
      </w:r>
    </w:p>
    <w:p>
      <w:pPr>
        <w:pStyle w:val="2"/>
        <w:ind w:left="0" w:leftChars="0" w:firstLine="643" w:firstLineChars="200"/>
        <w:rPr>
          <w:rFonts w:hint="default" w:ascii="仿宋_GB2312" w:hAnsi="仿宋_GB2312" w:eastAsia="仿宋_GB2312" w:cs="宋体"/>
          <w:kern w:val="1"/>
          <w:sz w:val="32"/>
          <w:szCs w:val="32"/>
          <w:lang w:val="en-US" w:eastAsia="zh-CN" w:bidi="ar-SA"/>
        </w:rPr>
      </w:pPr>
      <w:r>
        <w:rPr>
          <w:rFonts w:hint="eastAsia" w:ascii="仿宋_GB2312" w:hAnsi="仿宋_GB2312" w:eastAsia="仿宋_GB2312" w:cs="宋体"/>
          <w:b/>
          <w:kern w:val="1"/>
          <w:sz w:val="32"/>
          <w:szCs w:val="32"/>
          <w:shd w:val="clear" w:color="auto" w:fill="FFFFFF"/>
          <w:lang w:val="en-US" w:eastAsia="zh-CN" w:bidi="ar-SA"/>
        </w:rPr>
        <w:t>六、信息发布方式：</w:t>
      </w:r>
      <w:r>
        <w:rPr>
          <w:rFonts w:hint="eastAsia" w:ascii="仿宋_GB2312" w:hAnsi="仿宋_GB2312" w:eastAsia="仿宋_GB2312" w:cs="宋体"/>
          <w:kern w:val="1"/>
          <w:sz w:val="32"/>
          <w:szCs w:val="32"/>
          <w:lang w:val="en-US" w:eastAsia="zh-CN" w:bidi="ar-SA"/>
        </w:rPr>
        <w:t>福建省盐业集团有限责任公司网站（www.fjsalt.com）、海峡导报、福建漳州盐务局公示栏、福建东山盐务局所属租赁标的物现场公告。</w:t>
      </w:r>
    </w:p>
    <w:p>
      <w:pPr>
        <w:adjustRightInd w:val="0"/>
        <w:snapToGrid w:val="0"/>
        <w:spacing w:line="560" w:lineRule="exact"/>
        <w:ind w:firstLine="643" w:firstLineChars="200"/>
        <w:rPr>
          <w:rFonts w:ascii="仿宋_GB2312" w:hAnsi="仿宋_GB2312" w:eastAsia="仿宋_GB2312" w:cs="宋体"/>
          <w:kern w:val="1"/>
          <w:sz w:val="32"/>
          <w:szCs w:val="32"/>
        </w:rPr>
      </w:pPr>
      <w:r>
        <w:rPr>
          <w:rFonts w:hint="eastAsia" w:ascii="仿宋_GB2312" w:hAnsi="仿宋_GB2312" w:eastAsia="仿宋_GB2312" w:cs="宋体"/>
          <w:b/>
          <w:kern w:val="1"/>
          <w:sz w:val="32"/>
          <w:szCs w:val="32"/>
          <w:shd w:val="clear" w:color="auto" w:fill="FFFFFF"/>
          <w:lang w:eastAsia="zh-CN"/>
        </w:rPr>
        <w:t>七</w:t>
      </w:r>
      <w:r>
        <w:rPr>
          <w:rFonts w:ascii="仿宋_GB2312" w:hAnsi="仿宋_GB2312" w:eastAsia="仿宋_GB2312" w:cs="宋体"/>
          <w:b/>
          <w:kern w:val="1"/>
          <w:sz w:val="32"/>
          <w:szCs w:val="32"/>
          <w:shd w:val="clear" w:color="auto" w:fill="FFFFFF"/>
        </w:rPr>
        <w:t>、公告期限：</w:t>
      </w:r>
      <w:r>
        <w:rPr>
          <w:rFonts w:hint="eastAsia" w:ascii="仿宋_GB2312" w:hAnsi="仿宋_GB2312" w:eastAsia="仿宋_GB2312" w:cs="宋体"/>
          <w:kern w:val="1"/>
          <w:sz w:val="32"/>
          <w:szCs w:val="32"/>
          <w:lang w:val="en-US" w:eastAsia="zh-CN" w:bidi="ar-SA"/>
        </w:rPr>
        <w:t>15个工作日，</w:t>
      </w:r>
      <w:r>
        <w:rPr>
          <w:rFonts w:ascii="仿宋_GB2312" w:hAnsi="仿宋_GB2312" w:eastAsia="仿宋_GB2312" w:cs="宋体"/>
          <w:kern w:val="1"/>
          <w:sz w:val="32"/>
          <w:szCs w:val="32"/>
        </w:rPr>
        <w:t>20</w:t>
      </w:r>
      <w:r>
        <w:rPr>
          <w:rFonts w:hint="eastAsia" w:ascii="仿宋_GB2312" w:hAnsi="仿宋_GB2312" w:eastAsia="仿宋_GB2312" w:cs="宋体"/>
          <w:kern w:val="1"/>
          <w:sz w:val="32"/>
          <w:szCs w:val="32"/>
        </w:rPr>
        <w:t>2</w:t>
      </w:r>
      <w:r>
        <w:rPr>
          <w:rFonts w:hint="eastAsia" w:ascii="仿宋_GB2312" w:hAnsi="仿宋_GB2312" w:eastAsia="仿宋_GB2312" w:cs="宋体"/>
          <w:kern w:val="1"/>
          <w:sz w:val="32"/>
          <w:szCs w:val="32"/>
          <w:lang w:val="en-US" w:eastAsia="zh-CN"/>
        </w:rPr>
        <w:t>1</w:t>
      </w:r>
      <w:r>
        <w:rPr>
          <w:rFonts w:ascii="仿宋_GB2312" w:hAnsi="仿宋_GB2312" w:eastAsia="仿宋_GB2312" w:cs="宋体"/>
          <w:kern w:val="1"/>
          <w:sz w:val="32"/>
          <w:szCs w:val="32"/>
        </w:rPr>
        <w:t>年</w:t>
      </w:r>
      <w:r>
        <w:rPr>
          <w:rFonts w:hint="eastAsia" w:ascii="仿宋_GB2312" w:hAnsi="仿宋_GB2312" w:eastAsia="仿宋_GB2312" w:cs="宋体"/>
          <w:kern w:val="1"/>
          <w:sz w:val="32"/>
          <w:szCs w:val="32"/>
          <w:lang w:val="en-US" w:eastAsia="zh-CN"/>
        </w:rPr>
        <w:t>4</w:t>
      </w:r>
      <w:r>
        <w:rPr>
          <w:rFonts w:ascii="仿宋_GB2312" w:hAnsi="仿宋_GB2312" w:eastAsia="仿宋_GB2312" w:cs="宋体"/>
          <w:kern w:val="1"/>
          <w:sz w:val="32"/>
          <w:szCs w:val="32"/>
        </w:rPr>
        <w:t>月</w:t>
      </w:r>
      <w:r>
        <w:rPr>
          <w:rFonts w:hint="eastAsia" w:ascii="仿宋_GB2312" w:hAnsi="仿宋_GB2312" w:eastAsia="仿宋_GB2312" w:cs="宋体"/>
          <w:kern w:val="1"/>
          <w:sz w:val="32"/>
          <w:szCs w:val="32"/>
          <w:lang w:val="en-US" w:eastAsia="zh-CN"/>
        </w:rPr>
        <w:t>9</w:t>
      </w:r>
      <w:r>
        <w:rPr>
          <w:rFonts w:ascii="仿宋_GB2312" w:hAnsi="仿宋_GB2312" w:eastAsia="仿宋_GB2312" w:cs="宋体"/>
          <w:kern w:val="1"/>
          <w:sz w:val="32"/>
          <w:szCs w:val="32"/>
        </w:rPr>
        <w:t>日—20</w:t>
      </w:r>
      <w:r>
        <w:rPr>
          <w:rFonts w:hint="eastAsia" w:ascii="仿宋_GB2312" w:hAnsi="仿宋_GB2312" w:eastAsia="仿宋_GB2312" w:cs="宋体"/>
          <w:kern w:val="1"/>
          <w:sz w:val="32"/>
          <w:szCs w:val="32"/>
        </w:rPr>
        <w:t>2</w:t>
      </w:r>
      <w:r>
        <w:rPr>
          <w:rFonts w:hint="eastAsia" w:ascii="仿宋_GB2312" w:hAnsi="仿宋_GB2312" w:eastAsia="仿宋_GB2312" w:cs="宋体"/>
          <w:kern w:val="1"/>
          <w:sz w:val="32"/>
          <w:szCs w:val="32"/>
          <w:lang w:val="en-US" w:eastAsia="zh-CN"/>
        </w:rPr>
        <w:t>1</w:t>
      </w:r>
      <w:r>
        <w:rPr>
          <w:rFonts w:ascii="仿宋_GB2312" w:hAnsi="仿宋_GB2312" w:eastAsia="仿宋_GB2312" w:cs="宋体"/>
          <w:kern w:val="1"/>
          <w:sz w:val="32"/>
          <w:szCs w:val="32"/>
        </w:rPr>
        <w:t>年</w:t>
      </w:r>
      <w:r>
        <w:rPr>
          <w:rFonts w:hint="eastAsia" w:ascii="仿宋_GB2312" w:hAnsi="仿宋_GB2312" w:eastAsia="仿宋_GB2312" w:cs="宋体"/>
          <w:kern w:val="1"/>
          <w:sz w:val="32"/>
          <w:szCs w:val="32"/>
          <w:lang w:val="en-US" w:eastAsia="zh-CN"/>
        </w:rPr>
        <w:t>4</w:t>
      </w:r>
      <w:r>
        <w:rPr>
          <w:rFonts w:ascii="仿宋_GB2312" w:hAnsi="仿宋_GB2312" w:eastAsia="仿宋_GB2312" w:cs="宋体"/>
          <w:kern w:val="1"/>
          <w:sz w:val="32"/>
          <w:szCs w:val="32"/>
        </w:rPr>
        <w:t>月</w:t>
      </w:r>
      <w:r>
        <w:rPr>
          <w:rFonts w:hint="eastAsia" w:ascii="仿宋_GB2312" w:hAnsi="仿宋_GB2312" w:eastAsia="仿宋_GB2312" w:cs="宋体"/>
          <w:kern w:val="1"/>
          <w:sz w:val="32"/>
          <w:szCs w:val="32"/>
          <w:lang w:val="en-US" w:eastAsia="zh-CN"/>
        </w:rPr>
        <w:t>30</w:t>
      </w:r>
      <w:r>
        <w:rPr>
          <w:rFonts w:ascii="仿宋_GB2312" w:hAnsi="仿宋_GB2312" w:eastAsia="仿宋_GB2312" w:cs="宋体"/>
          <w:kern w:val="1"/>
          <w:sz w:val="32"/>
          <w:szCs w:val="32"/>
        </w:rPr>
        <w:t>日。</w:t>
      </w:r>
    </w:p>
    <w:p>
      <w:pPr>
        <w:adjustRightInd w:val="0"/>
        <w:snapToGrid w:val="0"/>
        <w:spacing w:line="560" w:lineRule="exact"/>
        <w:ind w:firstLine="640" w:firstLineChars="200"/>
        <w:rPr>
          <w:rFonts w:ascii="仿宋_GB2312" w:hAnsi="仿宋_GB2312" w:eastAsia="仿宋_GB2312" w:cs="宋体"/>
          <w:kern w:val="1"/>
          <w:sz w:val="32"/>
          <w:szCs w:val="32"/>
        </w:rPr>
      </w:pPr>
      <w:r>
        <w:rPr>
          <w:rFonts w:hint="eastAsia" w:ascii="仿宋_GB2312" w:hAnsi="仿宋_GB2312" w:eastAsia="仿宋_GB2312" w:cs="宋体"/>
          <w:kern w:val="1"/>
          <w:sz w:val="32"/>
          <w:szCs w:val="32"/>
        </w:rPr>
        <w:t>（</w:t>
      </w:r>
      <w:r>
        <w:rPr>
          <w:rFonts w:ascii="仿宋_GB2312" w:hAnsi="仿宋_GB2312" w:eastAsia="仿宋_GB2312" w:cs="宋体"/>
          <w:kern w:val="1"/>
          <w:sz w:val="32"/>
          <w:szCs w:val="32"/>
        </w:rPr>
        <w:t>意向承租方在公告期内到</w:t>
      </w:r>
      <w:r>
        <w:rPr>
          <w:rFonts w:hint="eastAsia" w:ascii="仿宋_GB2312" w:hAnsi="仿宋_GB2312" w:eastAsia="仿宋_GB2312" w:cs="宋体"/>
          <w:kern w:val="1"/>
          <w:sz w:val="32"/>
          <w:szCs w:val="32"/>
        </w:rPr>
        <w:t>福建</w:t>
      </w:r>
      <w:r>
        <w:rPr>
          <w:rFonts w:hint="eastAsia" w:ascii="仿宋_GB2312" w:hAnsi="仿宋_GB2312" w:eastAsia="仿宋_GB2312" w:cs="宋体"/>
          <w:kern w:val="1"/>
          <w:sz w:val="32"/>
          <w:szCs w:val="32"/>
          <w:lang w:eastAsia="zh-CN"/>
        </w:rPr>
        <w:t>福建东山盐务局</w:t>
      </w:r>
      <w:r>
        <w:rPr>
          <w:rFonts w:ascii="仿宋_GB2312" w:hAnsi="仿宋_GB2312" w:eastAsia="仿宋_GB2312" w:cs="宋体"/>
          <w:kern w:val="1"/>
          <w:sz w:val="32"/>
          <w:szCs w:val="32"/>
        </w:rPr>
        <w:t>获取《</w:t>
      </w:r>
      <w:r>
        <w:rPr>
          <w:rFonts w:hint="eastAsia" w:ascii="仿宋_GB2312" w:hAnsi="仿宋_GB2312" w:eastAsia="仿宋_GB2312" w:cs="宋体"/>
          <w:kern w:val="1"/>
          <w:sz w:val="32"/>
          <w:szCs w:val="32"/>
          <w:lang w:eastAsia="zh-CN"/>
        </w:rPr>
        <w:t>竞租</w:t>
      </w:r>
      <w:r>
        <w:rPr>
          <w:rFonts w:ascii="仿宋_GB2312" w:hAnsi="仿宋_GB2312" w:eastAsia="仿宋_GB2312" w:cs="宋体"/>
          <w:kern w:val="1"/>
          <w:sz w:val="32"/>
          <w:szCs w:val="32"/>
        </w:rPr>
        <w:t>须知》。</w:t>
      </w:r>
      <w:r>
        <w:rPr>
          <w:rFonts w:hint="eastAsia" w:ascii="仿宋_GB2312" w:hAnsi="仿宋_GB2312" w:eastAsia="仿宋_GB2312" w:cs="宋体"/>
          <w:kern w:val="1"/>
          <w:sz w:val="32"/>
          <w:szCs w:val="32"/>
          <w:lang w:eastAsia="zh-CN"/>
        </w:rPr>
        <w:t>联系人：郑小姐</w:t>
      </w:r>
      <w:r>
        <w:rPr>
          <w:rFonts w:hint="eastAsia" w:ascii="仿宋_GB2312" w:hAnsi="仿宋_GB2312" w:eastAsia="仿宋_GB2312" w:cs="宋体"/>
          <w:kern w:val="1"/>
          <w:sz w:val="32"/>
          <w:szCs w:val="32"/>
          <w:lang w:val="en-US" w:eastAsia="zh-CN"/>
        </w:rPr>
        <w:t xml:space="preserve">13959600688 </w:t>
      </w:r>
      <w:r>
        <w:rPr>
          <w:rFonts w:hint="eastAsia" w:ascii="仿宋_GB2312" w:hAnsi="仿宋_GB2312" w:eastAsia="仿宋_GB2312" w:cs="宋体"/>
          <w:kern w:val="1"/>
          <w:sz w:val="32"/>
          <w:szCs w:val="32"/>
        </w:rPr>
        <w:t>）</w:t>
      </w:r>
    </w:p>
    <w:p>
      <w:pPr>
        <w:numPr>
          <w:ilvl w:val="0"/>
          <w:numId w:val="0"/>
        </w:numPr>
        <w:adjustRightInd w:val="0"/>
        <w:snapToGrid w:val="0"/>
        <w:spacing w:line="560" w:lineRule="exact"/>
        <w:ind w:firstLine="643" w:firstLineChars="200"/>
        <w:rPr>
          <w:rFonts w:hint="default" w:ascii="仿宋_GB2312" w:hAnsi="仿宋_GB2312" w:eastAsia="仿宋_GB2312" w:cs="宋体"/>
          <w:kern w:val="1"/>
          <w:sz w:val="32"/>
          <w:szCs w:val="32"/>
          <w:lang w:val="en-US"/>
        </w:rPr>
      </w:pPr>
      <w:r>
        <w:rPr>
          <w:rFonts w:hint="eastAsia" w:ascii="仿宋_GB2312" w:hAnsi="仿宋_GB2312" w:eastAsia="仿宋_GB2312" w:cs="宋体"/>
          <w:b/>
          <w:kern w:val="1"/>
          <w:sz w:val="32"/>
          <w:szCs w:val="32"/>
          <w:lang w:eastAsia="zh-CN"/>
        </w:rPr>
        <w:t>八、联系人及</w:t>
      </w:r>
      <w:r>
        <w:rPr>
          <w:rFonts w:hint="eastAsia" w:ascii="仿宋_GB2312" w:hAnsi="仿宋_GB2312" w:eastAsia="仿宋_GB2312" w:cs="宋体"/>
          <w:b/>
          <w:kern w:val="1"/>
          <w:sz w:val="32"/>
          <w:szCs w:val="32"/>
        </w:rPr>
        <w:t>电话：</w:t>
      </w:r>
      <w:r>
        <w:rPr>
          <w:rFonts w:hint="eastAsia" w:ascii="仿宋_GB2312" w:hAnsi="仿宋_GB2312" w:eastAsia="仿宋_GB2312" w:cs="宋体"/>
          <w:kern w:val="1"/>
          <w:sz w:val="32"/>
          <w:szCs w:val="32"/>
          <w:u w:val="single"/>
        </w:rPr>
        <w:t xml:space="preserve"> </w:t>
      </w:r>
      <w:r>
        <w:rPr>
          <w:rFonts w:hint="eastAsia" w:ascii="仿宋_GB2312" w:hAnsi="仿宋_GB2312" w:eastAsia="仿宋_GB2312" w:cs="宋体"/>
          <w:kern w:val="1"/>
          <w:sz w:val="32"/>
          <w:szCs w:val="32"/>
          <w:u w:val="single"/>
          <w:lang w:eastAsia="zh-CN"/>
        </w:rPr>
        <w:t>林先生</w:t>
      </w:r>
      <w:r>
        <w:rPr>
          <w:rFonts w:hint="eastAsia" w:ascii="仿宋_GB2312" w:hAnsi="仿宋_GB2312" w:eastAsia="仿宋_GB2312" w:cs="宋体"/>
          <w:kern w:val="1"/>
          <w:sz w:val="32"/>
          <w:szCs w:val="32"/>
          <w:u w:val="single"/>
        </w:rPr>
        <w:t xml:space="preserve"> 13</w:t>
      </w:r>
      <w:r>
        <w:rPr>
          <w:rFonts w:hint="eastAsia" w:ascii="仿宋_GB2312" w:hAnsi="仿宋_GB2312" w:eastAsia="仿宋_GB2312" w:cs="宋体"/>
          <w:kern w:val="1"/>
          <w:sz w:val="32"/>
          <w:szCs w:val="32"/>
          <w:u w:val="single"/>
          <w:lang w:val="en-US" w:eastAsia="zh-CN"/>
        </w:rPr>
        <w:t>859263678</w:t>
      </w:r>
      <w:r>
        <w:rPr>
          <w:rFonts w:hint="eastAsia" w:ascii="仿宋_GB2312" w:hAnsi="仿宋_GB2312" w:eastAsia="仿宋_GB2312" w:cs="宋体"/>
          <w:kern w:val="1"/>
          <w:sz w:val="32"/>
          <w:szCs w:val="32"/>
          <w:u w:val="single"/>
        </w:rPr>
        <w:t xml:space="preserve"> </w:t>
      </w:r>
    </w:p>
    <w:p>
      <w:pPr>
        <w:adjustRightInd w:val="0"/>
        <w:snapToGrid w:val="0"/>
        <w:spacing w:line="560" w:lineRule="exact"/>
        <w:rPr>
          <w:rFonts w:ascii="仿宋_GB2312" w:hAnsi="仿宋_GB2312" w:eastAsia="仿宋_GB2312" w:cs="宋体"/>
          <w:kern w:val="1"/>
          <w:sz w:val="32"/>
          <w:szCs w:val="32"/>
        </w:rPr>
      </w:pPr>
      <w:r>
        <w:rPr>
          <w:rFonts w:hint="eastAsia" w:ascii="仿宋_GB2312" w:hAnsi="仿宋_GB2312" w:eastAsia="仿宋_GB2312" w:cs="宋体"/>
          <w:kern w:val="1"/>
          <w:sz w:val="32"/>
          <w:szCs w:val="32"/>
        </w:rPr>
        <w:t xml:space="preserve">        </w:t>
      </w:r>
      <w:r>
        <w:rPr>
          <w:rFonts w:ascii="仿宋_GB2312" w:hAnsi="仿宋_GB2312" w:eastAsia="仿宋_GB2312" w:cs="宋体"/>
          <w:b/>
          <w:kern w:val="1"/>
          <w:sz w:val="32"/>
          <w:szCs w:val="32"/>
        </w:rPr>
        <w:t>咨询地址：</w:t>
      </w:r>
      <w:r>
        <w:rPr>
          <w:rFonts w:hint="eastAsia" w:ascii="仿宋_GB2312" w:hAnsi="仿宋_GB2312" w:eastAsia="仿宋_GB2312" w:cs="宋体"/>
          <w:kern w:val="1"/>
          <w:sz w:val="32"/>
          <w:szCs w:val="32"/>
          <w:u w:val="single"/>
          <w:lang w:eastAsia="zh-CN"/>
        </w:rPr>
        <w:t>福建东山盐务局（东山县西埔镇白石街</w:t>
      </w:r>
      <w:r>
        <w:rPr>
          <w:rFonts w:hint="eastAsia" w:ascii="仿宋_GB2312" w:hAnsi="仿宋_GB2312" w:eastAsia="仿宋_GB2312" w:cs="宋体"/>
          <w:kern w:val="1"/>
          <w:sz w:val="32"/>
          <w:szCs w:val="32"/>
          <w:u w:val="single"/>
          <w:lang w:val="en-US" w:eastAsia="zh-CN"/>
        </w:rPr>
        <w:t>343号</w:t>
      </w:r>
      <w:r>
        <w:rPr>
          <w:rFonts w:hint="eastAsia" w:ascii="仿宋_GB2312" w:hAnsi="仿宋_GB2312" w:eastAsia="仿宋_GB2312" w:cs="宋体"/>
          <w:kern w:val="1"/>
          <w:sz w:val="32"/>
          <w:szCs w:val="32"/>
          <w:u w:val="single"/>
          <w:lang w:eastAsia="zh-CN"/>
        </w:rPr>
        <w:t>）</w:t>
      </w:r>
      <w:r>
        <w:rPr>
          <w:rFonts w:ascii="仿宋_GB2312" w:hAnsi="仿宋_GB2312" w:eastAsia="仿宋_GB2312" w:cs="宋体"/>
          <w:kern w:val="1"/>
          <w:sz w:val="32"/>
          <w:szCs w:val="32"/>
        </w:rPr>
        <w:t xml:space="preserve"> </w:t>
      </w:r>
      <w:r>
        <w:rPr>
          <w:rFonts w:ascii="仿宋_GB2312" w:hAnsi="仿宋_GB2312" w:eastAsia="仿宋_GB2312" w:cs="宋体"/>
          <w:b/>
          <w:kern w:val="1"/>
          <w:sz w:val="32"/>
          <w:szCs w:val="32"/>
        </w:rPr>
        <w:t xml:space="preserve"> </w:t>
      </w:r>
      <w:r>
        <w:rPr>
          <w:rFonts w:ascii="仿宋_GB2312" w:hAnsi="仿宋_GB2312" w:eastAsia="仿宋_GB2312" w:cs="宋体"/>
          <w:kern w:val="1"/>
          <w:sz w:val="32"/>
          <w:szCs w:val="32"/>
        </w:rPr>
        <w:t xml:space="preserve">  </w:t>
      </w:r>
    </w:p>
    <w:p>
      <w:pPr>
        <w:adjustRightInd w:val="0"/>
        <w:snapToGrid w:val="0"/>
        <w:spacing w:line="560" w:lineRule="exact"/>
        <w:rPr>
          <w:rFonts w:ascii="仿宋_GB2312" w:hAnsi="仿宋_GB2312" w:eastAsia="仿宋_GB2312" w:cs="宋体"/>
          <w:kern w:val="1"/>
          <w:sz w:val="32"/>
          <w:szCs w:val="32"/>
        </w:rPr>
      </w:pPr>
      <w:r>
        <w:rPr>
          <w:rFonts w:ascii="仿宋_GB2312" w:hAnsi="仿宋_GB2312" w:eastAsia="仿宋_GB2312" w:cs="宋体"/>
          <w:kern w:val="1"/>
          <w:sz w:val="32"/>
          <w:szCs w:val="32"/>
        </w:rPr>
        <w:t xml:space="preserve"> </w:t>
      </w:r>
      <w:r>
        <w:rPr>
          <w:rFonts w:hint="eastAsia" w:ascii="仿宋_GB2312" w:hAnsi="仿宋_GB2312" w:eastAsia="仿宋_GB2312" w:cs="宋体"/>
          <w:kern w:val="1"/>
          <w:sz w:val="32"/>
          <w:szCs w:val="32"/>
        </w:rPr>
        <w:t xml:space="preserve">      </w:t>
      </w:r>
      <w:r>
        <w:rPr>
          <w:rFonts w:hint="eastAsia" w:ascii="仿宋_GB2312" w:hAnsi="仿宋_GB2312" w:eastAsia="仿宋_GB2312" w:cs="宋体"/>
          <w:kern w:val="1"/>
          <w:sz w:val="32"/>
          <w:szCs w:val="32"/>
          <w:lang w:val="en-US" w:eastAsia="zh-CN"/>
        </w:rPr>
        <w:t xml:space="preserve"> </w:t>
      </w:r>
      <w:r>
        <w:rPr>
          <w:rFonts w:ascii="仿宋_GB2312" w:hAnsi="仿宋_GB2312" w:eastAsia="仿宋_GB2312" w:cs="宋体"/>
          <w:b/>
          <w:kern w:val="1"/>
          <w:sz w:val="32"/>
          <w:szCs w:val="32"/>
        </w:rPr>
        <w:t>监督电话：</w:t>
      </w:r>
      <w:r>
        <w:rPr>
          <w:rFonts w:hint="eastAsia" w:ascii="仿宋_GB2312" w:hAnsi="仿宋_GB2312" w:eastAsia="仿宋_GB2312" w:cs="宋体"/>
          <w:kern w:val="1"/>
          <w:sz w:val="32"/>
          <w:szCs w:val="32"/>
          <w:u w:val="single"/>
        </w:rPr>
        <w:t>0596-2683025</w:t>
      </w:r>
      <w:r>
        <w:rPr>
          <w:rFonts w:ascii="仿宋_GB2312" w:hAnsi="仿宋_GB2312" w:eastAsia="仿宋_GB2312" w:cs="宋体"/>
          <w:kern w:val="1"/>
          <w:sz w:val="32"/>
          <w:szCs w:val="32"/>
        </w:rPr>
        <w:t xml:space="preserve">  </w:t>
      </w:r>
    </w:p>
    <w:p>
      <w:pPr>
        <w:adjustRightInd w:val="0"/>
        <w:snapToGrid w:val="0"/>
        <w:spacing w:line="560" w:lineRule="exact"/>
        <w:ind w:firstLine="640" w:firstLineChars="200"/>
        <w:rPr>
          <w:rFonts w:hint="eastAsia" w:ascii="仿宋_GB2312" w:hAnsi="仿宋_GB2312" w:eastAsia="仿宋_GB2312" w:cs="宋体"/>
          <w:kern w:val="1"/>
          <w:sz w:val="32"/>
          <w:szCs w:val="32"/>
        </w:rPr>
      </w:pPr>
      <w:r>
        <w:rPr>
          <w:rFonts w:ascii="仿宋_GB2312" w:hAnsi="仿宋_GB2312" w:eastAsia="仿宋_GB2312" w:cs="宋体"/>
          <w:kern w:val="1"/>
          <w:sz w:val="32"/>
          <w:szCs w:val="32"/>
        </w:rPr>
        <w:t xml:space="preserve">                     </w:t>
      </w:r>
    </w:p>
    <w:p>
      <w:pPr>
        <w:adjustRightInd w:val="0"/>
        <w:snapToGrid w:val="0"/>
        <w:spacing w:line="560" w:lineRule="exact"/>
        <w:ind w:left="4469" w:leftChars="2128" w:firstLine="160" w:firstLineChars="50"/>
        <w:rPr>
          <w:rFonts w:hint="eastAsia" w:ascii="仿宋_GB2312" w:hAnsi="仿宋_GB2312" w:eastAsia="仿宋_GB2312" w:cs="仿宋_GB2312"/>
          <w:kern w:val="1"/>
          <w:sz w:val="32"/>
          <w:szCs w:val="32"/>
          <w:lang w:eastAsia="zh-CN"/>
        </w:rPr>
      </w:pPr>
    </w:p>
    <w:p>
      <w:pPr>
        <w:adjustRightInd w:val="0"/>
        <w:snapToGrid w:val="0"/>
        <w:spacing w:line="560" w:lineRule="exact"/>
        <w:ind w:left="4469" w:leftChars="2128" w:firstLine="160" w:firstLineChars="50"/>
        <w:rPr>
          <w:rFonts w:hint="eastAsia" w:ascii="仿宋_GB2312" w:hAnsi="仿宋_GB2312" w:eastAsia="仿宋_GB2312" w:cs="仿宋_GB2312"/>
          <w:kern w:val="1"/>
          <w:sz w:val="32"/>
          <w:szCs w:val="32"/>
          <w:lang w:eastAsia="zh-CN"/>
        </w:rPr>
      </w:pPr>
      <w:r>
        <w:rPr>
          <w:rFonts w:hint="eastAsia" w:ascii="仿宋_GB2312" w:hAnsi="仿宋_GB2312" w:eastAsia="仿宋_GB2312" w:cs="仿宋_GB2312"/>
          <w:kern w:val="1"/>
          <w:sz w:val="32"/>
          <w:szCs w:val="32"/>
          <w:lang w:eastAsia="zh-CN"/>
        </w:rPr>
        <w:t>福建东山盐务局</w:t>
      </w:r>
    </w:p>
    <w:p>
      <w:pPr>
        <w:adjustRightInd w:val="0"/>
        <w:snapToGrid w:val="0"/>
        <w:spacing w:line="560" w:lineRule="exact"/>
        <w:ind w:left="4469" w:leftChars="2128" w:firstLine="160" w:firstLineChars="50"/>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202</w:t>
      </w:r>
      <w:r>
        <w:rPr>
          <w:rFonts w:hint="eastAsia" w:ascii="仿宋_GB2312" w:hAnsi="仿宋_GB2312" w:eastAsia="仿宋_GB2312" w:cs="仿宋_GB2312"/>
          <w:kern w:val="1"/>
          <w:sz w:val="32"/>
          <w:szCs w:val="32"/>
          <w:lang w:val="en-US" w:eastAsia="zh-CN"/>
        </w:rPr>
        <w:t>1</w:t>
      </w:r>
      <w:r>
        <w:rPr>
          <w:rFonts w:hint="eastAsia" w:ascii="仿宋_GB2312" w:hAnsi="仿宋_GB2312" w:eastAsia="仿宋_GB2312" w:cs="仿宋_GB2312"/>
          <w:kern w:val="1"/>
          <w:sz w:val="32"/>
          <w:szCs w:val="32"/>
        </w:rPr>
        <w:t>年</w:t>
      </w:r>
      <w:r>
        <w:rPr>
          <w:rFonts w:hint="eastAsia" w:ascii="仿宋_GB2312" w:hAnsi="仿宋_GB2312" w:eastAsia="仿宋_GB2312" w:cs="仿宋_GB2312"/>
          <w:kern w:val="1"/>
          <w:sz w:val="32"/>
          <w:szCs w:val="32"/>
          <w:lang w:val="en-US" w:eastAsia="zh-CN"/>
        </w:rPr>
        <w:t>4</w:t>
      </w:r>
      <w:r>
        <w:rPr>
          <w:rFonts w:hint="eastAsia" w:ascii="仿宋_GB2312" w:hAnsi="仿宋_GB2312" w:eastAsia="仿宋_GB2312" w:cs="仿宋_GB2312"/>
          <w:kern w:val="1"/>
          <w:sz w:val="32"/>
          <w:szCs w:val="32"/>
        </w:rPr>
        <w:t>月</w:t>
      </w:r>
      <w:r>
        <w:rPr>
          <w:rFonts w:hint="eastAsia" w:ascii="仿宋_GB2312" w:hAnsi="仿宋_GB2312" w:eastAsia="仿宋_GB2312" w:cs="仿宋_GB2312"/>
          <w:kern w:val="1"/>
          <w:sz w:val="32"/>
          <w:szCs w:val="32"/>
          <w:lang w:val="en-US" w:eastAsia="zh-CN"/>
        </w:rPr>
        <w:t>9</w:t>
      </w:r>
      <w:bookmarkStart w:id="0" w:name="_GoBack"/>
      <w:bookmarkEnd w:id="0"/>
      <w:r>
        <w:rPr>
          <w:rFonts w:hint="eastAsia" w:ascii="仿宋_GB2312" w:hAnsi="仿宋_GB2312" w:eastAsia="仿宋_GB2312" w:cs="仿宋_GB2312"/>
          <w:kern w:val="1"/>
          <w:sz w:val="32"/>
          <w:szCs w:val="32"/>
        </w:rPr>
        <w:t>日</w:t>
      </w:r>
    </w:p>
    <w:p>
      <w:pPr>
        <w:rPr>
          <w:rFonts w:hint="eastAsia"/>
        </w:rPr>
      </w:pPr>
    </w:p>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Arial Rounded MT Bold">
    <w:panose1 w:val="020F07040305040302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867410" cy="157480"/>
              <wp:effectExtent l="0" t="0" r="0" b="0"/>
              <wp:wrapNone/>
              <wp:docPr id="1" name="文本框1"/>
              <wp:cNvGraphicFramePr/>
              <a:graphic xmlns:a="http://schemas.openxmlformats.org/drawingml/2006/main">
                <a:graphicData uri="http://schemas.microsoft.com/office/word/2010/wordprocessingShape">
                  <wps:wsp>
                    <wps:cNvSpPr txBox="1"/>
                    <wps:spPr>
                      <a:xfrm>
                        <a:off x="0" y="0"/>
                        <a:ext cx="867410" cy="157480"/>
                      </a:xfrm>
                      <a:prstGeom prst="rect">
                        <a:avLst/>
                      </a:prstGeom>
                      <a:noFill/>
                      <a:ln w="9525">
                        <a:noFill/>
                        <a:miter/>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zh-CN" w:eastAsia="zh-CN"/>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lang w:val="zh-CN" w:eastAsia="zh-CN"/>
                            </w:rPr>
                            <w:t>1</w:t>
                          </w:r>
                          <w:r>
                            <w:rPr>
                              <w:rFonts w:hint="eastAsia"/>
                              <w:sz w:val="18"/>
                            </w:rPr>
                            <w:fldChar w:fldCharType="end"/>
                          </w:r>
                          <w:r>
                            <w:rPr>
                              <w:rFonts w:hint="eastAsia"/>
                              <w:sz w:val="18"/>
                            </w:rPr>
                            <w:t xml:space="preserve"> 页</w:t>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2.4pt;width:68.3pt;mso-position-horizontal:center;mso-position-horizontal-relative:margin;mso-wrap-style:none;z-index:251658240;mso-width-relative:page;mso-height-relative:page;" filled="f" stroked="f" coordsize="21600,21600" o:gfxdata="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B39IAAAAEAQAADwAAAAAAAAABACAAAAAiAAAAZHJzL2Rvd25yZXYueG1sUEsBAhQA&#10;FAAAAAgAh07iQGmtLH+/AQAAWwMAAA4AAAAAAAAAAQAgAAAAIQEAAGRycy9lMm9Eb2MueG1sUEsF&#10;BgAAAAAGAAYAWQEAAFI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lang w:val="zh-CN" w:eastAsia="zh-CN"/>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lang w:val="zh-CN" w:eastAsia="zh-CN"/>
                      </w:rPr>
                      <w:t>1</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5BF34"/>
    <w:multiLevelType w:val="singleLevel"/>
    <w:tmpl w:val="6065BF3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6268F"/>
    <w:rsid w:val="00FB53BE"/>
    <w:rsid w:val="02C83DFD"/>
    <w:rsid w:val="03A5455A"/>
    <w:rsid w:val="06E176EC"/>
    <w:rsid w:val="09087F6A"/>
    <w:rsid w:val="09F56468"/>
    <w:rsid w:val="0DBC43F2"/>
    <w:rsid w:val="17312129"/>
    <w:rsid w:val="189A003E"/>
    <w:rsid w:val="1CFA68AC"/>
    <w:rsid w:val="20FC5719"/>
    <w:rsid w:val="2681268F"/>
    <w:rsid w:val="269958FB"/>
    <w:rsid w:val="28D63717"/>
    <w:rsid w:val="29A0367C"/>
    <w:rsid w:val="2B9B2B40"/>
    <w:rsid w:val="32E87D56"/>
    <w:rsid w:val="35407861"/>
    <w:rsid w:val="37B569E2"/>
    <w:rsid w:val="387503F5"/>
    <w:rsid w:val="38D337F0"/>
    <w:rsid w:val="3DE4285E"/>
    <w:rsid w:val="3F934317"/>
    <w:rsid w:val="47DD0E18"/>
    <w:rsid w:val="4A163D02"/>
    <w:rsid w:val="518E1FE5"/>
    <w:rsid w:val="547308AB"/>
    <w:rsid w:val="560436B0"/>
    <w:rsid w:val="59F81FFC"/>
    <w:rsid w:val="5D4D10AD"/>
    <w:rsid w:val="5DE6268F"/>
    <w:rsid w:val="5ED50BA4"/>
    <w:rsid w:val="61397294"/>
    <w:rsid w:val="62FA5D3C"/>
    <w:rsid w:val="67717063"/>
    <w:rsid w:val="697C5F9D"/>
    <w:rsid w:val="6ED10B56"/>
    <w:rsid w:val="79186C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link w:val="12"/>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 w:val="left" w:pos="993"/>
        <w:tab w:val="left" w:pos="1134"/>
      </w:tabs>
      <w:adjustRightInd w:val="0"/>
      <w:snapToGrid w:val="0"/>
      <w:spacing w:after="120"/>
      <w:ind w:left="420" w:leftChars="200" w:firstLine="420" w:firstLineChars="200"/>
      <w:jc w:val="left"/>
    </w:pPr>
    <w:rPr>
      <w:rFonts w:ascii="Tahoma" w:hAnsi="Tahoma" w:eastAsia="微软雅黑"/>
      <w:kern w:val="0"/>
      <w:sz w:val="22"/>
    </w:rPr>
  </w:style>
  <w:style w:type="paragraph" w:styleId="3">
    <w:name w:val="Body Text Indent"/>
    <w:basedOn w:val="1"/>
    <w:qFormat/>
    <w:uiPriority w:val="0"/>
    <w:pPr>
      <w:widowControl/>
      <w:tabs>
        <w:tab w:val="left" w:pos="0"/>
        <w:tab w:val="left" w:pos="993"/>
        <w:tab w:val="left" w:pos="1134"/>
      </w:tabs>
      <w:adjustRightInd/>
      <w:spacing w:line="500" w:lineRule="exact"/>
      <w:ind w:firstLine="567"/>
      <w:textAlignment w:val="auto"/>
    </w:pPr>
    <w:rPr>
      <w:rFonts w:ascii="宋体"/>
      <w:sz w:val="28"/>
    </w:rPr>
  </w:style>
  <w:style w:type="paragraph" w:styleId="4">
    <w:name w:val="Normal Indent"/>
    <w:basedOn w:val="1"/>
    <w:next w:val="5"/>
    <w:qFormat/>
    <w:uiPriority w:val="0"/>
    <w:pPr>
      <w:ind w:firstLine="420"/>
    </w:pPr>
    <w:rPr>
      <w:kern w:val="2"/>
      <w:sz w:val="21"/>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paragraph" w:styleId="6">
    <w:name w:val="Document Map"/>
    <w:basedOn w:val="1"/>
    <w:semiHidden/>
    <w:qFormat/>
    <w:uiPriority w:val="0"/>
    <w:pPr>
      <w:shd w:val="clear" w:color="auto" w:fill="000080"/>
    </w:pPr>
  </w:style>
  <w:style w:type="paragraph" w:styleId="7">
    <w:name w:val="Plain Text"/>
    <w:basedOn w:val="1"/>
    <w:qFormat/>
    <w:uiPriority w:val="0"/>
    <w:pPr>
      <w:widowControl w:val="0"/>
      <w:spacing w:before="0" w:after="0"/>
      <w:ind w:left="0" w:right="0"/>
      <w:jc w:val="both"/>
    </w:pPr>
    <w:rPr>
      <w:rFonts w:hint="eastAsia" w:ascii="宋体" w:hAnsi="Courier New" w:eastAsia="宋体" w:cs="Courier New"/>
      <w:kern w:val="2"/>
      <w:sz w:val="21"/>
      <w:szCs w:val="21"/>
      <w:lang w:val="en-US" w:eastAsia="zh-CN" w:bidi="ar-SA"/>
    </w:rPr>
  </w:style>
  <w:style w:type="paragraph" w:styleId="8">
    <w:name w:val="footer"/>
    <w:basedOn w:val="1"/>
    <w:qFormat/>
    <w:uiPriority w:val="0"/>
    <w:pPr>
      <w:tabs>
        <w:tab w:val="center" w:pos="4153"/>
        <w:tab w:val="right" w:pos="8306"/>
      </w:tabs>
      <w:snapToGrid w:val="0"/>
      <w:jc w:val="left"/>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Char"/>
    <w:basedOn w:val="6"/>
    <w:link w:val="11"/>
    <w:qFormat/>
    <w:uiPriority w:val="0"/>
  </w:style>
  <w:style w:type="character" w:customStyle="1" w:styleId="13">
    <w:name w:val="font41"/>
    <w:basedOn w:val="11"/>
    <w:qFormat/>
    <w:uiPriority w:val="0"/>
    <w:rPr>
      <w:rFonts w:hint="eastAsia" w:ascii="宋体" w:hAnsi="宋体" w:eastAsia="宋体" w:cs="宋体"/>
      <w:b/>
      <w:color w:val="000000"/>
      <w:sz w:val="22"/>
      <w:szCs w:val="22"/>
      <w:u w:val="none"/>
    </w:rPr>
  </w:style>
  <w:style w:type="character" w:customStyle="1" w:styleId="14">
    <w:name w:val="font21"/>
    <w:basedOn w:val="11"/>
    <w:qFormat/>
    <w:uiPriority w:val="0"/>
    <w:rPr>
      <w:rFonts w:hint="eastAsia" w:ascii="宋体" w:hAnsi="宋体" w:eastAsia="宋体" w:cs="宋体"/>
      <w:b/>
      <w:color w:val="000000"/>
      <w:sz w:val="22"/>
      <w:szCs w:val="22"/>
      <w:u w:val="none"/>
      <w:vertAlign w:val="superscript"/>
    </w:rPr>
  </w:style>
  <w:style w:type="character" w:customStyle="1" w:styleId="15">
    <w:name w:val="font1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2020-04-13T01:02:00Z</dcterms:created>
  <dc:creator>林清泉</dc:creator>
  <cp:lastModifiedBy>林清泉</cp:lastModifiedBy>
  <dcterms:modified xsi:type="dcterms:W3CDTF">2021-04-07T08:01:38Z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