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center"/>
        <w:rPr>
          <w:rFonts w:hint="eastAsia" w:ascii="黑体" w:hAnsi="黑体" w:eastAsia="黑体" w:cs="宋体"/>
          <w:sz w:val="44"/>
          <w:szCs w:val="44"/>
        </w:rPr>
      </w:pPr>
      <w:r>
        <w:rPr>
          <w:rFonts w:hint="eastAsia" w:ascii="黑体" w:hAnsi="黑体" w:eastAsia="黑体" w:cs="宋体"/>
          <w:sz w:val="44"/>
          <w:szCs w:val="44"/>
        </w:rPr>
        <w:t>福盐集团闽侯中盐2号仓库</w:t>
      </w:r>
    </w:p>
    <w:p>
      <w:pPr>
        <w:widowControl w:val="0"/>
        <w:spacing w:after="0"/>
        <w:jc w:val="center"/>
        <w:rPr>
          <w:rFonts w:hint="eastAsia" w:ascii="黑体" w:hAnsi="黑体" w:eastAsia="黑体" w:cs="宋体"/>
          <w:sz w:val="44"/>
          <w:szCs w:val="44"/>
          <w:lang w:val="en-US" w:eastAsia="zh-CN"/>
        </w:rPr>
      </w:pPr>
      <w:r>
        <w:rPr>
          <w:rFonts w:hint="eastAsia" w:ascii="黑体" w:hAnsi="黑体" w:eastAsia="黑体" w:cs="宋体"/>
          <w:sz w:val="44"/>
          <w:szCs w:val="44"/>
        </w:rPr>
        <w:t>修缮改造询价</w:t>
      </w:r>
      <w:r>
        <w:rPr>
          <w:rFonts w:hint="eastAsia" w:ascii="黑体" w:hAnsi="黑体" w:eastAsia="黑体" w:cs="宋体"/>
          <w:sz w:val="44"/>
          <w:szCs w:val="44"/>
          <w:lang w:val="en-US" w:eastAsia="zh-CN"/>
        </w:rPr>
        <w:t>公</w:t>
      </w:r>
      <w:bookmarkStart w:id="0" w:name="_GoBack"/>
      <w:bookmarkEnd w:id="0"/>
      <w:r>
        <w:rPr>
          <w:rFonts w:hint="eastAsia" w:ascii="黑体" w:hAnsi="黑体" w:eastAsia="黑体" w:cs="宋体"/>
          <w:sz w:val="44"/>
          <w:szCs w:val="44"/>
          <w:lang w:val="en-US" w:eastAsia="zh-CN"/>
        </w:rPr>
        <w:t>告</w:t>
      </w:r>
    </w:p>
    <w:p>
      <w:pPr>
        <w:pStyle w:val="2"/>
        <w:spacing w:before="0" w:after="0" w:line="240" w:lineRule="auto"/>
        <w:rPr>
          <w:sz w:val="32"/>
          <w:szCs w:val="32"/>
        </w:rPr>
      </w:pPr>
    </w:p>
    <w:p>
      <w:pPr>
        <w:widowControl w:val="0"/>
        <w:spacing w:beforeLines="53" w:after="60" w:line="440" w:lineRule="exact"/>
        <w:ind w:firstLine="482" w:firstLineChars="200"/>
        <w:rPr>
          <w:rFonts w:ascii="黑体" w:hAnsi="黑体" w:eastAsia="黑体" w:cs="宋体"/>
          <w:b/>
          <w:bCs/>
          <w:sz w:val="24"/>
          <w:szCs w:val="24"/>
        </w:rPr>
      </w:pPr>
      <w:r>
        <w:rPr>
          <w:rFonts w:hint="eastAsia" w:ascii="黑体" w:hAnsi="黑体" w:eastAsia="黑体" w:cs="宋体"/>
          <w:b/>
          <w:bCs/>
          <w:sz w:val="24"/>
          <w:szCs w:val="24"/>
        </w:rPr>
        <w:t>1.项目名称</w:t>
      </w:r>
    </w:p>
    <w:p>
      <w:pPr>
        <w:widowControl w:val="0"/>
        <w:spacing w:beforeLines="53" w:after="60" w:line="440" w:lineRule="exact"/>
        <w:ind w:firstLine="480" w:firstLineChars="200"/>
        <w:rPr>
          <w:rFonts w:ascii="宋体" w:hAnsi="宋体" w:eastAsia="宋体" w:cs="宋体"/>
          <w:sz w:val="24"/>
          <w:szCs w:val="24"/>
        </w:rPr>
      </w:pPr>
      <w:r>
        <w:rPr>
          <w:rFonts w:hint="eastAsia" w:ascii="宋体" w:hAnsi="宋体" w:eastAsia="宋体" w:cs="宋体"/>
          <w:sz w:val="24"/>
          <w:szCs w:val="24"/>
        </w:rPr>
        <w:t>福盐集团闽侯中盐福建2号仓修缮改造（3260㎡）</w:t>
      </w:r>
    </w:p>
    <w:p>
      <w:pPr>
        <w:widowControl w:val="0"/>
        <w:spacing w:beforeLines="53" w:after="60" w:line="44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2.项目修缮改造内容</w:t>
      </w:r>
    </w:p>
    <w:p>
      <w:pPr>
        <w:widowControl w:val="0"/>
        <w:spacing w:beforeLines="53" w:after="60" w:line="440" w:lineRule="exact"/>
        <w:ind w:firstLine="480" w:firstLineChars="200"/>
        <w:rPr>
          <w:rFonts w:ascii="宋体" w:hAnsi="宋体" w:eastAsia="宋体" w:cs="宋体"/>
          <w:sz w:val="24"/>
          <w:szCs w:val="24"/>
        </w:rPr>
      </w:pPr>
      <w:r>
        <w:rPr>
          <w:rFonts w:hint="eastAsia" w:ascii="宋体" w:hAnsi="宋体" w:eastAsia="宋体" w:cs="宋体"/>
          <w:sz w:val="24"/>
          <w:szCs w:val="24"/>
        </w:rPr>
        <w:t>盐品仓库根据经营需要及用途将分隔为集团盐产品仓库、进出口盐产品仓库、闽盐食品仓库、电商打包发货仓、办公室等（见布置图）。具体改造要求如下(工程项目明细及数量详见</w:t>
      </w:r>
      <w:r>
        <w:rPr>
          <w:rFonts w:hint="eastAsia" w:ascii="宋体" w:hAnsi="宋体" w:eastAsia="宋体" w:cs="宋体"/>
          <w:sz w:val="24"/>
          <w:szCs w:val="24"/>
          <w:highlight w:val="none"/>
        </w:rPr>
        <w:t>第3条款)：</w:t>
      </w:r>
    </w:p>
    <w:p>
      <w:pPr>
        <w:widowControl w:val="0"/>
        <w:spacing w:beforeLines="53" w:after="60" w:line="440" w:lineRule="exact"/>
        <w:ind w:firstLine="480" w:firstLineChars="200"/>
        <w:rPr>
          <w:rFonts w:ascii="宋体" w:hAnsi="宋体" w:eastAsia="宋体" w:cs="宋体"/>
          <w:sz w:val="24"/>
          <w:szCs w:val="24"/>
        </w:rPr>
      </w:pPr>
      <w:r>
        <w:rPr>
          <w:rFonts w:hint="eastAsia" w:ascii="宋体" w:hAnsi="宋体" w:eastAsia="宋体" w:cs="宋体"/>
          <w:sz w:val="24"/>
          <w:szCs w:val="24"/>
          <w:highlight w:val="none"/>
        </w:rPr>
        <w:t>2.1仓库隔墙分区改造。需隔集团仓库仓库面积为1348㎡，进出口仓库面积</w:t>
      </w:r>
      <w:r>
        <w:rPr>
          <w:rFonts w:hint="eastAsia" w:ascii="宋体" w:hAnsi="宋体" w:eastAsia="宋体" w:cs="宋体"/>
          <w:sz w:val="24"/>
          <w:szCs w:val="24"/>
        </w:rPr>
        <w:t>约632㎡、闽盐食品仓库1100㎡。仓库总高9.5米，需隔墙面积约950平方米，采用双面彩钢夹芯板隔墙。</w:t>
      </w:r>
    </w:p>
    <w:p>
      <w:pPr>
        <w:widowControl w:val="0"/>
        <w:spacing w:beforeLines="53" w:after="60" w:line="440" w:lineRule="exact"/>
        <w:ind w:firstLine="480" w:firstLineChars="200"/>
        <w:rPr>
          <w:rFonts w:ascii="宋体" w:hAnsi="宋体" w:eastAsia="宋体" w:cs="宋体"/>
          <w:sz w:val="24"/>
          <w:szCs w:val="24"/>
        </w:rPr>
      </w:pPr>
      <w:r>
        <w:rPr>
          <w:rFonts w:hint="eastAsia" w:ascii="宋体" w:hAnsi="宋体" w:eastAsia="宋体" w:cs="宋体"/>
          <w:sz w:val="24"/>
          <w:szCs w:val="24"/>
        </w:rPr>
        <w:t>2.2在集团仓内建造电商打包及发货仓。电商发货仓、京东打包区面积70㎡，内部地面铺瓷砖，双面彩钢夹芯板隔墙。打包区要相对独立可隐蔽。</w:t>
      </w:r>
    </w:p>
    <w:p>
      <w:pPr>
        <w:widowControl w:val="0"/>
        <w:spacing w:beforeLines="53" w:after="60" w:line="440" w:lineRule="exact"/>
        <w:ind w:firstLine="480" w:firstLineChars="200"/>
        <w:rPr>
          <w:rFonts w:ascii="宋体" w:hAnsi="宋体" w:eastAsia="宋体" w:cs="宋体"/>
          <w:sz w:val="24"/>
          <w:szCs w:val="24"/>
        </w:rPr>
      </w:pPr>
      <w:r>
        <w:rPr>
          <w:rFonts w:hint="eastAsia" w:ascii="宋体" w:hAnsi="宋体" w:eastAsia="宋体" w:cs="宋体"/>
          <w:sz w:val="24"/>
          <w:szCs w:val="24"/>
        </w:rPr>
        <w:t>2.3办公室及休息室建造。在仓库内分别建造集团仓库办公室、闽盐食品仓库办公室及电商打包休息室。集团仓库办公室+打包休息区面积110㎡，闽盐食品仓库办公室面积60㎡。内部地面铺瓷砖，双面彩钢夹芯板隔墙。</w:t>
      </w:r>
    </w:p>
    <w:p>
      <w:pPr>
        <w:widowControl w:val="0"/>
        <w:spacing w:beforeLines="53" w:after="60" w:line="440" w:lineRule="exact"/>
        <w:ind w:firstLine="379" w:firstLineChars="158"/>
        <w:rPr>
          <w:rFonts w:ascii="宋体" w:hAnsi="宋体" w:eastAsia="宋体" w:cs="宋体"/>
          <w:sz w:val="24"/>
          <w:szCs w:val="24"/>
        </w:rPr>
      </w:pPr>
      <w:r>
        <w:rPr>
          <w:rFonts w:hint="eastAsia" w:ascii="宋体" w:hAnsi="宋体" w:eastAsia="宋体" w:cs="宋体"/>
          <w:sz w:val="24"/>
          <w:szCs w:val="24"/>
        </w:rPr>
        <w:t>2.4安装电路照明、监控系统。</w:t>
      </w:r>
    </w:p>
    <w:p>
      <w:pPr>
        <w:widowControl w:val="0"/>
        <w:spacing w:line="440" w:lineRule="exact"/>
        <w:rPr>
          <w:rFonts w:ascii="宋体" w:hAnsi="宋体" w:eastAsia="宋体" w:cs="宋体"/>
          <w:b/>
          <w:bCs/>
          <w:sz w:val="24"/>
          <w:szCs w:val="24"/>
        </w:rPr>
      </w:pPr>
      <w:r>
        <w:rPr>
          <w:rFonts w:ascii="宋体" w:hAnsi="宋体" w:eastAsia="宋体" w:cs="宋体"/>
          <w:b/>
          <w:bCs/>
          <w:sz w:val="24"/>
          <w:szCs w:val="24"/>
        </w:rPr>
        <w:drawing>
          <wp:anchor distT="0" distB="0" distL="0" distR="0" simplePos="0" relativeHeight="251659264" behindDoc="0" locked="0" layoutInCell="1" allowOverlap="1">
            <wp:simplePos x="0" y="0"/>
            <wp:positionH relativeFrom="column">
              <wp:posOffset>-55245</wp:posOffset>
            </wp:positionH>
            <wp:positionV relativeFrom="paragraph">
              <wp:posOffset>42545</wp:posOffset>
            </wp:positionV>
            <wp:extent cx="5814695" cy="3272155"/>
            <wp:effectExtent l="19050" t="0" r="0" b="0"/>
            <wp:wrapNone/>
            <wp:docPr id="2" name="图片 1" descr="e331c7706c5741fa40a4176858c94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331c7706c5741fa40a4176858c9496.png"/>
                    <pic:cNvPicPr>
                      <a:picLocks noChangeAspect="1"/>
                    </pic:cNvPicPr>
                  </pic:nvPicPr>
                  <pic:blipFill>
                    <a:blip r:embed="rId4"/>
                    <a:stretch>
                      <a:fillRect/>
                    </a:stretch>
                  </pic:blipFill>
                  <pic:spPr>
                    <a:xfrm>
                      <a:off x="0" y="0"/>
                      <a:ext cx="5815012" cy="3271838"/>
                    </a:xfrm>
                    <a:prstGeom prst="rect">
                      <a:avLst/>
                    </a:prstGeom>
                  </pic:spPr>
                </pic:pic>
              </a:graphicData>
            </a:graphic>
          </wp:anchor>
        </w:drawing>
      </w:r>
    </w:p>
    <w:p>
      <w:pPr>
        <w:widowControl w:val="0"/>
        <w:spacing w:line="440" w:lineRule="exact"/>
        <w:rPr>
          <w:rFonts w:ascii="宋体" w:hAnsi="宋体" w:eastAsia="宋体" w:cs="宋体"/>
          <w:b/>
          <w:bCs/>
          <w:sz w:val="24"/>
          <w:szCs w:val="24"/>
        </w:rPr>
      </w:pPr>
    </w:p>
    <w:p>
      <w:pPr>
        <w:widowControl w:val="0"/>
        <w:spacing w:line="440" w:lineRule="exact"/>
        <w:rPr>
          <w:rFonts w:ascii="宋体" w:hAnsi="宋体" w:eastAsia="宋体" w:cs="宋体"/>
          <w:b/>
          <w:bCs/>
          <w:sz w:val="24"/>
          <w:szCs w:val="24"/>
        </w:rPr>
      </w:pPr>
    </w:p>
    <w:p>
      <w:pPr>
        <w:widowControl w:val="0"/>
        <w:spacing w:line="440" w:lineRule="exact"/>
        <w:rPr>
          <w:rFonts w:ascii="宋体" w:hAnsi="宋体" w:eastAsia="宋体" w:cs="宋体"/>
          <w:b/>
          <w:bCs/>
          <w:sz w:val="24"/>
          <w:szCs w:val="24"/>
        </w:rPr>
      </w:pPr>
    </w:p>
    <w:p>
      <w:pPr>
        <w:widowControl w:val="0"/>
        <w:spacing w:line="440" w:lineRule="exact"/>
        <w:rPr>
          <w:rFonts w:ascii="宋体" w:hAnsi="宋体" w:eastAsia="宋体" w:cs="宋体"/>
          <w:b/>
          <w:bCs/>
          <w:sz w:val="24"/>
          <w:szCs w:val="24"/>
        </w:rPr>
      </w:pPr>
    </w:p>
    <w:p>
      <w:pPr>
        <w:widowControl w:val="0"/>
        <w:spacing w:line="440" w:lineRule="exact"/>
        <w:rPr>
          <w:rFonts w:hint="eastAsia" w:ascii="宋体" w:hAnsi="宋体" w:eastAsia="宋体" w:cs="宋体"/>
          <w:b/>
          <w:bCs/>
          <w:sz w:val="24"/>
          <w:szCs w:val="24"/>
        </w:rPr>
      </w:pPr>
    </w:p>
    <w:p>
      <w:pPr>
        <w:numPr>
          <w:ilvl w:val="0"/>
          <w:numId w:val="1"/>
        </w:numPr>
        <w:spacing w:after="0"/>
        <w:rPr>
          <w:rFonts w:hint="eastAsia"/>
        </w:rPr>
      </w:pPr>
    </w:p>
    <w:p>
      <w:pPr>
        <w:numPr>
          <w:ilvl w:val="0"/>
          <w:numId w:val="1"/>
        </w:numPr>
        <w:spacing w:after="0"/>
        <w:rPr>
          <w:rFonts w:hint="eastAsia"/>
        </w:rPr>
      </w:pPr>
    </w:p>
    <w:p>
      <w:pPr>
        <w:numPr>
          <w:ilvl w:val="0"/>
          <w:numId w:val="1"/>
        </w:numPr>
        <w:spacing w:after="0"/>
        <w:rPr>
          <w:rFonts w:hint="eastAsia"/>
        </w:rPr>
      </w:pPr>
    </w:p>
    <w:p>
      <w:pPr>
        <w:spacing w:after="0"/>
        <w:rPr>
          <w:rFonts w:hint="eastAsia"/>
        </w:rPr>
      </w:pPr>
    </w:p>
    <w:p>
      <w:pPr>
        <w:pStyle w:val="2"/>
        <w:spacing w:before="0" w:after="0" w:line="240" w:lineRule="auto"/>
        <w:rPr>
          <w:rFonts w:hint="eastAsia"/>
        </w:rPr>
      </w:pPr>
    </w:p>
    <w:p>
      <w:pPr>
        <w:spacing w:after="0"/>
        <w:ind w:firstLine="482" w:firstLineChars="200"/>
        <w:rPr>
          <w:rFonts w:ascii="黑体" w:hAnsi="黑体" w:eastAsia="黑体"/>
        </w:rPr>
      </w:pPr>
      <w:r>
        <w:rPr>
          <w:rFonts w:hint="eastAsia" w:ascii="黑体" w:hAnsi="黑体" w:eastAsia="黑体" w:cs="宋体"/>
          <w:b/>
          <w:bCs/>
          <w:sz w:val="24"/>
          <w:szCs w:val="24"/>
        </w:rPr>
        <w:t>3.工程项目明细及数量</w:t>
      </w:r>
    </w:p>
    <w:tbl>
      <w:tblPr>
        <w:tblStyle w:val="10"/>
        <w:tblpPr w:leftFromText="180" w:rightFromText="180" w:vertAnchor="text" w:horzAnchor="page" w:tblpX="1888" w:tblpY="721"/>
        <w:tblOverlap w:val="never"/>
        <w:tblW w:w="842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6"/>
        <w:gridCol w:w="4128"/>
        <w:gridCol w:w="752"/>
        <w:gridCol w:w="808"/>
        <w:gridCol w:w="18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bottom w:val="single" w:color="000000" w:sz="4" w:space="0"/>
              <w:right w:val="single" w:color="000000" w:sz="4" w:space="0"/>
            </w:tcBorders>
            <w:shd w:val="clear" w:color="auto" w:fill="auto"/>
            <w:noWrap/>
            <w:vAlign w:val="center"/>
          </w:tcPr>
          <w:p>
            <w:pPr>
              <w:spacing w:after="0"/>
              <w:jc w:val="center"/>
              <w:rPr>
                <w:rFonts w:ascii="宋体" w:hAnsi="宋体" w:eastAsia="宋体" w:cs="宋体"/>
                <w:b/>
              </w:rPr>
            </w:pPr>
            <w:r>
              <w:rPr>
                <w:rFonts w:hint="eastAsia" w:ascii="宋体" w:hAnsi="宋体" w:eastAsia="宋体" w:cs="宋体"/>
                <w:b/>
              </w:rPr>
              <w:t>序号</w:t>
            </w:r>
          </w:p>
        </w:tc>
        <w:tc>
          <w:tcPr>
            <w:tcW w:w="4128" w:type="dxa"/>
            <w:tcBorders>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
              </w:rPr>
            </w:pPr>
            <w:r>
              <w:rPr>
                <w:rFonts w:hint="eastAsia" w:ascii="宋体" w:hAnsi="宋体" w:eastAsia="宋体" w:cs="宋体"/>
                <w:b/>
              </w:rPr>
              <w:t>项目名称</w:t>
            </w:r>
          </w:p>
        </w:tc>
        <w:tc>
          <w:tcPr>
            <w:tcW w:w="752" w:type="dxa"/>
            <w:tcBorders>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
              </w:rPr>
            </w:pPr>
            <w:r>
              <w:rPr>
                <w:rFonts w:hint="eastAsia" w:ascii="宋体" w:hAnsi="宋体" w:eastAsia="宋体" w:cs="宋体"/>
                <w:b/>
              </w:rPr>
              <w:t>单位</w:t>
            </w:r>
          </w:p>
        </w:tc>
        <w:tc>
          <w:tcPr>
            <w:tcW w:w="808" w:type="dxa"/>
            <w:tcBorders>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
              </w:rPr>
            </w:pPr>
            <w:r>
              <w:rPr>
                <w:rFonts w:hint="eastAsia" w:ascii="宋体" w:hAnsi="宋体" w:eastAsia="宋体" w:cs="宋体"/>
                <w:b/>
              </w:rPr>
              <w:t>数量</w:t>
            </w:r>
          </w:p>
        </w:tc>
        <w:tc>
          <w:tcPr>
            <w:tcW w:w="1879" w:type="dxa"/>
            <w:tcBorders>
              <w:left w:val="single" w:color="000000" w:sz="4" w:space="0"/>
              <w:bottom w:val="single" w:color="000000" w:sz="4" w:space="0"/>
            </w:tcBorders>
            <w:shd w:val="clear" w:color="auto" w:fill="auto"/>
            <w:noWrap/>
            <w:vAlign w:val="center"/>
          </w:tcPr>
          <w:p>
            <w:pPr>
              <w:spacing w:after="0"/>
              <w:jc w:val="center"/>
              <w:rPr>
                <w:rFonts w:ascii="宋体" w:hAnsi="宋体" w:eastAsia="宋体" w:cs="宋体"/>
                <w:b/>
              </w:rPr>
            </w:pPr>
            <w:r>
              <w:rPr>
                <w:rFonts w:hint="eastAsia" w:ascii="宋体" w:hAnsi="宋体" w:eastAsia="宋体" w:cs="宋体"/>
                <w:b/>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原铁门打磨、除锈，重新喷漆（双面）</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w:t>
            </w:r>
          </w:p>
        </w:tc>
        <w:tc>
          <w:tcPr>
            <w:tcW w:w="1879" w:type="dxa"/>
            <w:vMerge w:val="restart"/>
            <w:tcBorders>
              <w:top w:val="single" w:color="000000" w:sz="4" w:space="0"/>
              <w:left w:val="single" w:color="000000" w:sz="4" w:space="0"/>
              <w:bottom w:val="nil"/>
            </w:tcBorders>
            <w:shd w:val="clear" w:color="auto" w:fill="auto"/>
            <w:vAlign w:val="center"/>
          </w:tcPr>
          <w:p>
            <w:pPr>
              <w:spacing w:after="0"/>
              <w:jc w:val="left"/>
              <w:rPr>
                <w:rFonts w:ascii="宋体" w:hAnsi="宋体" w:eastAsia="宋体" w:cs="宋体"/>
                <w:bCs/>
              </w:rPr>
            </w:pPr>
            <w:r>
              <w:rPr>
                <w:rFonts w:hint="eastAsia" w:ascii="宋体" w:hAnsi="宋体" w:eastAsia="宋体" w:cs="宋体"/>
                <w:bCs/>
              </w:rPr>
              <w:t>按《食盐规范管理办法要求》、（GB/T18770）、(GB31621)的要求修缮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入口斜坡拆打、新做</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5</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3</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挡鼠板修复</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4</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部分顶面漏水处理</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5</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东侧墙面防水涂料处理</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430</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6</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室内墙角裂缝清理、修补</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224</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7</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进出口仓铝合金卷帘门4000*4000mm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16</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8</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卷帘门电机</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9</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门边框缝隙封堵</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10</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地坪漆地面缝修补（拆打、修复）</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11</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地面标识线</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12</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墙、柱面乳胶漆修复</w:t>
            </w:r>
          </w:p>
          <w:p>
            <w:pPr>
              <w:spacing w:after="0"/>
              <w:jc w:val="center"/>
              <w:rPr>
                <w:rFonts w:ascii="宋体" w:hAnsi="宋体" w:eastAsia="宋体" w:cs="宋体"/>
                <w:bCs/>
              </w:rPr>
            </w:pPr>
            <w:r>
              <w:rPr>
                <w:rFonts w:hint="eastAsia" w:ascii="宋体" w:hAnsi="宋体" w:eastAsia="宋体" w:cs="宋体"/>
                <w:bCs/>
              </w:rPr>
              <w:t>（空鼓、起皮铲除重新）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13</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窗户玻璃更换</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14</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窗户玻璃防晒贴纸</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250</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15</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窗户边框打胶密封</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500</w:t>
            </w:r>
          </w:p>
        </w:tc>
        <w:tc>
          <w:tcPr>
            <w:tcW w:w="1879" w:type="dxa"/>
            <w:vMerge w:val="continue"/>
            <w:tcBorders>
              <w:top w:val="single" w:color="000000" w:sz="4" w:space="0"/>
              <w:left w:val="single" w:color="000000" w:sz="4" w:space="0"/>
              <w:bottom w:val="nil"/>
            </w:tcBorders>
            <w:shd w:val="clear" w:color="auto" w:fill="auto"/>
            <w:vAlign w:val="center"/>
          </w:tcPr>
          <w:p>
            <w:pPr>
              <w:spacing w:after="0"/>
              <w:jc w:val="center"/>
              <w:rPr>
                <w:rFonts w:ascii="宋体" w:hAnsi="宋体" w:eastAsia="宋体" w:cs="宋体"/>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trPr>
        <w:tc>
          <w:tcPr>
            <w:tcW w:w="856" w:type="dxa"/>
            <w:tcBorders>
              <w:top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16</w:t>
            </w:r>
          </w:p>
        </w:tc>
        <w:tc>
          <w:tcPr>
            <w:tcW w:w="4128" w:type="dxa"/>
            <w:tcBorders>
              <w:top w:val="single" w:color="000000" w:sz="4" w:space="0"/>
              <w:left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仓库周边环境卫生清理</w:t>
            </w:r>
          </w:p>
        </w:tc>
        <w:tc>
          <w:tcPr>
            <w:tcW w:w="752" w:type="dxa"/>
            <w:tcBorders>
              <w:top w:val="single" w:color="000000" w:sz="4" w:space="0"/>
              <w:left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879" w:type="dxa"/>
            <w:vMerge w:val="continue"/>
            <w:tcBorders>
              <w:top w:val="single" w:color="000000" w:sz="4" w:space="0"/>
              <w:left w:val="single" w:color="000000" w:sz="4" w:space="0"/>
            </w:tcBorders>
            <w:shd w:val="clear" w:color="auto" w:fill="auto"/>
            <w:vAlign w:val="center"/>
          </w:tcPr>
          <w:p>
            <w:pPr>
              <w:spacing w:after="0"/>
              <w:jc w:val="center"/>
              <w:rPr>
                <w:rFonts w:ascii="宋体" w:hAnsi="宋体" w:eastAsia="宋体" w:cs="宋体"/>
                <w:bCs/>
              </w:rPr>
            </w:pPr>
          </w:p>
        </w:tc>
      </w:tr>
    </w:tbl>
    <w:p>
      <w:pPr>
        <w:spacing w:line="500" w:lineRule="exact"/>
        <w:ind w:firstLine="482" w:firstLineChars="200"/>
        <w:jc w:val="both"/>
        <w:rPr>
          <w:rFonts w:ascii="宋体" w:hAnsi="宋体" w:eastAsia="宋体" w:cs="宋体"/>
          <w:b/>
          <w:sz w:val="24"/>
          <w:szCs w:val="24"/>
        </w:rPr>
      </w:pPr>
      <w:r>
        <w:rPr>
          <w:rFonts w:hint="eastAsia" w:ascii="宋体" w:hAnsi="宋体" w:eastAsia="宋体" w:cs="宋体"/>
          <w:b/>
          <w:sz w:val="24"/>
          <w:szCs w:val="24"/>
        </w:rPr>
        <w:t>3.1基础修缮</w:t>
      </w:r>
    </w:p>
    <w:p>
      <w:pPr>
        <w:spacing w:line="500" w:lineRule="exact"/>
        <w:ind w:firstLine="482" w:firstLineChars="200"/>
        <w:rPr>
          <w:rFonts w:ascii="宋体" w:hAnsi="宋体" w:eastAsia="宋体" w:cs="宋体"/>
          <w:b/>
          <w:sz w:val="24"/>
          <w:szCs w:val="24"/>
        </w:rPr>
      </w:pPr>
      <w:r>
        <w:rPr>
          <w:rFonts w:hint="eastAsia" w:ascii="宋体" w:hAnsi="宋体" w:eastAsia="宋体" w:cs="宋体"/>
          <w:b/>
          <w:sz w:val="24"/>
          <w:szCs w:val="24"/>
        </w:rPr>
        <w:t>3.2仓库隔墙</w:t>
      </w:r>
    </w:p>
    <w:tbl>
      <w:tblPr>
        <w:tblStyle w:val="10"/>
        <w:tblW w:w="8536" w:type="dxa"/>
        <w:tblInd w:w="93" w:type="dxa"/>
        <w:tblLayout w:type="fixed"/>
        <w:tblCellMar>
          <w:top w:w="0" w:type="dxa"/>
          <w:left w:w="108" w:type="dxa"/>
          <w:bottom w:w="0" w:type="dxa"/>
          <w:right w:w="108" w:type="dxa"/>
        </w:tblCellMar>
      </w:tblPr>
      <w:tblGrid>
        <w:gridCol w:w="856"/>
        <w:gridCol w:w="4128"/>
        <w:gridCol w:w="752"/>
        <w:gridCol w:w="808"/>
        <w:gridCol w:w="1992"/>
      </w:tblGrid>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序号</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项目名称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单位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数量</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rPr>
                <w:rFonts w:ascii="宋体" w:hAnsi="宋体" w:eastAsia="宋体" w:cs="宋体"/>
                <w:bCs/>
              </w:rPr>
            </w:pPr>
            <w:r>
              <w:rPr>
                <w:rFonts w:hint="eastAsia" w:ascii="宋体" w:hAnsi="宋体" w:eastAsia="宋体" w:cs="宋体"/>
                <w:bCs/>
              </w:rPr>
              <w:t>备注</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西侧原墙上方墙体补到顶</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40</w:t>
            </w:r>
          </w:p>
        </w:tc>
        <w:tc>
          <w:tcPr>
            <w:tcW w:w="1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rPr>
                <w:rFonts w:ascii="宋体" w:hAnsi="宋体" w:eastAsia="宋体" w:cs="宋体"/>
                <w:bCs/>
              </w:rPr>
            </w:pPr>
            <w:r>
              <w:rPr>
                <w:rFonts w:hint="eastAsia" w:ascii="宋体" w:hAnsi="宋体" w:eastAsia="宋体" w:cs="宋体"/>
                <w:bCs/>
              </w:rPr>
              <w:t>按《食盐规范管理办法要求》、（GB/T18770）、(GB31621)的要求修缮</w:t>
            </w:r>
          </w:p>
        </w:tc>
      </w:tr>
      <w:tr>
        <w:tblPrEx>
          <w:tblLayout w:type="fixed"/>
          <w:tblCellMar>
            <w:top w:w="0" w:type="dxa"/>
            <w:left w:w="108" w:type="dxa"/>
            <w:bottom w:w="0" w:type="dxa"/>
            <w:right w:w="108" w:type="dxa"/>
          </w:tblCellMar>
        </w:tblPrEx>
        <w:trPr>
          <w:trHeight w:val="1275"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center"/>
              <w:rPr>
                <w:rFonts w:ascii="宋体" w:hAnsi="宋体" w:eastAsia="宋体" w:cs="宋体"/>
                <w:bCs/>
              </w:rPr>
            </w:pPr>
            <w:r>
              <w:rPr>
                <w:rFonts w:hint="eastAsia" w:ascii="宋体" w:hAnsi="宋体" w:eastAsia="宋体" w:cs="宋体"/>
                <w:bCs/>
              </w:rPr>
              <w:t>仓库双面彩钢夹芯板隔墙(中顶高9.5m)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00" w:lineRule="exact"/>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00" w:lineRule="exact"/>
              <w:jc w:val="center"/>
              <w:rPr>
                <w:rFonts w:ascii="宋体" w:hAnsi="宋体" w:eastAsia="宋体" w:cs="宋体"/>
                <w:bCs/>
              </w:rPr>
            </w:pPr>
            <w:r>
              <w:rPr>
                <w:rFonts w:hint="eastAsia" w:ascii="宋体" w:hAnsi="宋体" w:eastAsia="宋体" w:cs="宋体"/>
                <w:bCs/>
              </w:rPr>
              <w:t>900</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center"/>
              <w:rPr>
                <w:rFonts w:ascii="宋体" w:hAnsi="宋体" w:eastAsia="宋体" w:cs="宋体"/>
                <w:bCs/>
              </w:rPr>
            </w:pPr>
          </w:p>
        </w:tc>
      </w:tr>
    </w:tbl>
    <w:p>
      <w:pPr>
        <w:spacing w:line="500" w:lineRule="exact"/>
        <w:ind w:firstLine="482" w:firstLineChars="200"/>
        <w:jc w:val="both"/>
        <w:rPr>
          <w:rFonts w:ascii="宋体" w:hAnsi="宋体" w:eastAsia="宋体" w:cs="宋体"/>
          <w:b/>
          <w:sz w:val="24"/>
          <w:szCs w:val="24"/>
        </w:rPr>
      </w:pPr>
      <w:r>
        <w:rPr>
          <w:rFonts w:hint="eastAsia" w:ascii="宋体" w:hAnsi="宋体" w:eastAsia="宋体" w:cs="宋体"/>
          <w:b/>
          <w:sz w:val="24"/>
          <w:szCs w:val="24"/>
        </w:rPr>
        <w:t>3.3集团仓库办公及打包发货室</w:t>
      </w:r>
    </w:p>
    <w:tbl>
      <w:tblPr>
        <w:tblStyle w:val="10"/>
        <w:tblW w:w="8536" w:type="dxa"/>
        <w:tblInd w:w="93" w:type="dxa"/>
        <w:tblLayout w:type="fixed"/>
        <w:tblCellMar>
          <w:top w:w="0" w:type="dxa"/>
          <w:left w:w="108" w:type="dxa"/>
          <w:bottom w:w="0" w:type="dxa"/>
          <w:right w:w="108" w:type="dxa"/>
        </w:tblCellMar>
      </w:tblPr>
      <w:tblGrid>
        <w:gridCol w:w="856"/>
        <w:gridCol w:w="4128"/>
        <w:gridCol w:w="752"/>
        <w:gridCol w:w="808"/>
        <w:gridCol w:w="1992"/>
      </w:tblGrid>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序号</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项目名称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单位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数量</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备注</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办公室彩钢板双开门1800*2100mm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2</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休息室彩钢板单开门1000*2100mm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3</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电商打包区隐形门1000*2100mm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4</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电商打包区隐形门1800*2100mm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5</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600*600mm铝扣板吊顶</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180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6</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吊顶钢架转换层</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180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7</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办公室地面瓷砖</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180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8</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both"/>
              <w:rPr>
                <w:rFonts w:ascii="宋体" w:hAnsi="宋体" w:eastAsia="宋体" w:cs="宋体"/>
                <w:bCs/>
              </w:rPr>
            </w:pPr>
            <w:r>
              <w:rPr>
                <w:rFonts w:hint="eastAsia" w:ascii="宋体" w:hAnsi="宋体" w:eastAsia="宋体" w:cs="宋体"/>
                <w:bCs/>
              </w:rPr>
              <w:t>集团办公区双面彩钢夹芯板隔墙</w:t>
            </w:r>
          </w:p>
          <w:p>
            <w:pPr>
              <w:spacing w:after="0"/>
              <w:jc w:val="both"/>
              <w:rPr>
                <w:rFonts w:ascii="宋体" w:hAnsi="宋体" w:eastAsia="宋体" w:cs="宋体"/>
                <w:bCs/>
              </w:rPr>
            </w:pPr>
            <w:r>
              <w:rPr>
                <w:rFonts w:hint="eastAsia" w:ascii="宋体" w:hAnsi="宋体" w:eastAsia="宋体" w:cs="宋体"/>
                <w:bCs/>
              </w:rPr>
              <w:t>及玻璃窗</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180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bl>
    <w:p>
      <w:pPr>
        <w:spacing w:line="500" w:lineRule="exact"/>
        <w:ind w:firstLine="482" w:firstLineChars="200"/>
        <w:rPr>
          <w:rFonts w:ascii="宋体" w:hAnsi="宋体" w:eastAsia="宋体" w:cs="宋体"/>
          <w:b/>
          <w:sz w:val="24"/>
          <w:szCs w:val="24"/>
        </w:rPr>
      </w:pPr>
      <w:r>
        <w:rPr>
          <w:rFonts w:hint="eastAsia" w:ascii="宋体" w:hAnsi="宋体" w:eastAsia="宋体" w:cs="宋体"/>
          <w:b/>
          <w:sz w:val="24"/>
          <w:szCs w:val="24"/>
        </w:rPr>
        <w:t>3.4闽盐食品办公室</w:t>
      </w:r>
    </w:p>
    <w:tbl>
      <w:tblPr>
        <w:tblStyle w:val="10"/>
        <w:tblW w:w="8536" w:type="dxa"/>
        <w:tblInd w:w="93" w:type="dxa"/>
        <w:tblLayout w:type="fixed"/>
        <w:tblCellMar>
          <w:top w:w="0" w:type="dxa"/>
          <w:left w:w="108" w:type="dxa"/>
          <w:bottom w:w="0" w:type="dxa"/>
          <w:right w:w="108" w:type="dxa"/>
        </w:tblCellMar>
      </w:tblPr>
      <w:tblGrid>
        <w:gridCol w:w="856"/>
        <w:gridCol w:w="4128"/>
        <w:gridCol w:w="752"/>
        <w:gridCol w:w="808"/>
        <w:gridCol w:w="1992"/>
      </w:tblGrid>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序号</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项目名称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单位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数量</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备注</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办公区双面彩钢夹芯板隔墙及玻璃窗</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110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门1800*2100mm</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樘</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2</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3</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600*600mm铝扣板吊顶</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4</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吊顶钢架转换层</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5</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办公室地面瓷砖</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60</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bl>
    <w:p>
      <w:pPr>
        <w:spacing w:line="500" w:lineRule="exact"/>
        <w:ind w:firstLine="482" w:firstLineChars="200"/>
        <w:rPr>
          <w:rFonts w:ascii="宋体" w:hAnsi="宋体" w:eastAsia="宋体" w:cs="宋体"/>
          <w:b/>
          <w:sz w:val="24"/>
          <w:szCs w:val="24"/>
        </w:rPr>
      </w:pPr>
      <w:r>
        <w:rPr>
          <w:rFonts w:hint="eastAsia" w:ascii="宋体" w:hAnsi="宋体" w:eastAsia="宋体" w:cs="宋体"/>
          <w:b/>
          <w:sz w:val="24"/>
          <w:szCs w:val="24"/>
        </w:rPr>
        <w:t>3.5电路照明系统</w:t>
      </w:r>
    </w:p>
    <w:tbl>
      <w:tblPr>
        <w:tblStyle w:val="10"/>
        <w:tblW w:w="8536" w:type="dxa"/>
        <w:tblInd w:w="93" w:type="dxa"/>
        <w:tblLayout w:type="fixed"/>
        <w:tblCellMar>
          <w:top w:w="0" w:type="dxa"/>
          <w:left w:w="108" w:type="dxa"/>
          <w:bottom w:w="0" w:type="dxa"/>
          <w:right w:w="108" w:type="dxa"/>
        </w:tblCellMar>
      </w:tblPr>
      <w:tblGrid>
        <w:gridCol w:w="856"/>
        <w:gridCol w:w="4128"/>
        <w:gridCol w:w="752"/>
        <w:gridCol w:w="808"/>
        <w:gridCol w:w="1992"/>
      </w:tblGrid>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序号</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项目名称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单位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数量</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备注</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强、弱电管、线预埋（含监控）</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m²</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3260</w:t>
            </w:r>
          </w:p>
        </w:tc>
        <w:tc>
          <w:tcPr>
            <w:tcW w:w="1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按《食盐规范管理办法要求》、（GB/T18770）、(GB31621)的要求修缮</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配电箱利旧修改，更换元器件</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3</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排气扇（墙排式）及通气口纱窗安装</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台</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4</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应急灯、安全出口</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12</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5</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入口照明灯具</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6</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室内LED照明灯具400W工矿灯</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盏</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36</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7</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LED 600*600mm平板灯</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盏</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30</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8</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开关、插座</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55</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9</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灭蝇灯</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6</w:t>
            </w:r>
          </w:p>
        </w:tc>
        <w:tc>
          <w:tcPr>
            <w:tcW w:w="1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p>
        </w:tc>
      </w:tr>
    </w:tbl>
    <w:p>
      <w:pPr>
        <w:spacing w:line="500" w:lineRule="exact"/>
        <w:jc w:val="center"/>
        <w:rPr>
          <w:rFonts w:ascii="宋体" w:hAnsi="宋体" w:eastAsia="宋体" w:cs="宋体"/>
          <w:bCs/>
        </w:rPr>
      </w:pPr>
    </w:p>
    <w:p>
      <w:pPr>
        <w:spacing w:line="500" w:lineRule="exact"/>
        <w:ind w:firstLine="482" w:firstLineChars="200"/>
        <w:jc w:val="both"/>
        <w:rPr>
          <w:rFonts w:ascii="宋体" w:hAnsi="宋体" w:eastAsia="宋体" w:cs="宋体"/>
          <w:b/>
          <w:sz w:val="24"/>
          <w:szCs w:val="24"/>
        </w:rPr>
      </w:pPr>
      <w:r>
        <w:rPr>
          <w:rFonts w:hint="eastAsia" w:ascii="宋体" w:hAnsi="宋体" w:eastAsia="宋体" w:cs="宋体"/>
          <w:b/>
          <w:sz w:val="24"/>
          <w:szCs w:val="24"/>
        </w:rPr>
        <w:t>3.6监控系统</w:t>
      </w:r>
    </w:p>
    <w:tbl>
      <w:tblPr>
        <w:tblStyle w:val="10"/>
        <w:tblW w:w="8536" w:type="dxa"/>
        <w:tblInd w:w="93" w:type="dxa"/>
        <w:tblLayout w:type="fixed"/>
        <w:tblCellMar>
          <w:top w:w="0" w:type="dxa"/>
          <w:left w:w="108" w:type="dxa"/>
          <w:bottom w:w="0" w:type="dxa"/>
          <w:right w:w="108" w:type="dxa"/>
        </w:tblCellMar>
      </w:tblPr>
      <w:tblGrid>
        <w:gridCol w:w="856"/>
        <w:gridCol w:w="4128"/>
        <w:gridCol w:w="752"/>
        <w:gridCol w:w="808"/>
        <w:gridCol w:w="1992"/>
      </w:tblGrid>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序号</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项目名称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单位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数量</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备注</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监控探头，400W像素全彩</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个</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19</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迈视MS-669SRT-IPX-4H/P-Y</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8T专用硬盘、录像机32路4盘位、交换机、机柜等（2个月）</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3</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4T专用硬盘、录像机32路4盘位、交换机、机柜等（2个月）</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4</w:t>
            </w:r>
          </w:p>
        </w:tc>
        <w:tc>
          <w:tcPr>
            <w:tcW w:w="412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监控安装、调试</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p>
        </w:tc>
      </w:tr>
    </w:tbl>
    <w:p>
      <w:pPr>
        <w:pStyle w:val="9"/>
        <w:spacing w:line="400" w:lineRule="exact"/>
        <w:ind w:left="0" w:leftChars="0" w:firstLine="482"/>
        <w:rPr>
          <w:rFonts w:ascii="宋体" w:hAnsi="宋体" w:eastAsia="宋体" w:cs="宋体"/>
          <w:b/>
          <w:bCs/>
          <w:sz w:val="24"/>
          <w:szCs w:val="24"/>
        </w:rPr>
      </w:pPr>
      <w:r>
        <w:rPr>
          <w:rFonts w:hint="eastAsia" w:ascii="宋体" w:hAnsi="宋体" w:eastAsia="宋体" w:cs="宋体"/>
          <w:b/>
          <w:bCs/>
          <w:sz w:val="24"/>
          <w:szCs w:val="24"/>
        </w:rPr>
        <w:t>3.7其他辅助项目</w:t>
      </w:r>
    </w:p>
    <w:tbl>
      <w:tblPr>
        <w:tblStyle w:val="10"/>
        <w:tblW w:w="8536" w:type="dxa"/>
        <w:tblInd w:w="93" w:type="dxa"/>
        <w:tblLayout w:type="fixed"/>
        <w:tblCellMar>
          <w:top w:w="0" w:type="dxa"/>
          <w:left w:w="108" w:type="dxa"/>
          <w:bottom w:w="0" w:type="dxa"/>
          <w:right w:w="108" w:type="dxa"/>
        </w:tblCellMar>
      </w:tblPr>
      <w:tblGrid>
        <w:gridCol w:w="856"/>
        <w:gridCol w:w="4128"/>
        <w:gridCol w:w="752"/>
        <w:gridCol w:w="808"/>
        <w:gridCol w:w="1992"/>
      </w:tblGrid>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序号</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项目名称</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单位</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数量</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备注</w:t>
            </w: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1</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脚手架（含高空作业）</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2</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隔层材料搬运费</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p>
        </w:tc>
      </w:tr>
      <w:tr>
        <w:tblPrEx>
          <w:tblLayout w:type="fixed"/>
          <w:tblCellMar>
            <w:top w:w="0" w:type="dxa"/>
            <w:left w:w="108" w:type="dxa"/>
            <w:bottom w:w="0" w:type="dxa"/>
            <w:right w:w="108"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jc w:val="center"/>
              <w:rPr>
                <w:rFonts w:ascii="宋体" w:hAnsi="宋体" w:eastAsia="宋体" w:cs="宋体"/>
                <w:bCs/>
              </w:rPr>
            </w:pPr>
            <w:r>
              <w:rPr>
                <w:rFonts w:hint="eastAsia" w:ascii="宋体" w:hAnsi="宋体" w:eastAsia="宋体" w:cs="宋体"/>
                <w:bCs/>
              </w:rPr>
              <w:t>3</w:t>
            </w:r>
          </w:p>
        </w:tc>
        <w:tc>
          <w:tcPr>
            <w:tcW w:w="4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施工中垃圾清理</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项</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r>
              <w:rPr>
                <w:rFonts w:hint="eastAsia" w:ascii="宋体" w:hAnsi="宋体" w:eastAsia="宋体" w:cs="宋体"/>
                <w:bCs/>
              </w:rPr>
              <w:t>1</w:t>
            </w:r>
          </w:p>
        </w:tc>
        <w:tc>
          <w:tcPr>
            <w:tcW w:w="1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jc w:val="center"/>
              <w:rPr>
                <w:rFonts w:ascii="宋体" w:hAnsi="宋体" w:eastAsia="宋体" w:cs="宋体"/>
                <w:bCs/>
              </w:rPr>
            </w:pPr>
          </w:p>
        </w:tc>
      </w:tr>
    </w:tbl>
    <w:p>
      <w:pPr>
        <w:pStyle w:val="9"/>
        <w:ind w:left="880" w:leftChars="400" w:firstLine="0" w:firstLineChars="0"/>
      </w:pPr>
    </w:p>
    <w:p>
      <w:pPr>
        <w:widowControl w:val="0"/>
        <w:spacing w:line="440" w:lineRule="exact"/>
        <w:ind w:firstLine="482" w:firstLineChars="200"/>
        <w:rPr>
          <w:rFonts w:ascii="黑体" w:hAnsi="黑体" w:eastAsia="黑体" w:cs="宋体"/>
          <w:b/>
          <w:sz w:val="24"/>
          <w:szCs w:val="24"/>
        </w:rPr>
      </w:pPr>
      <w:r>
        <w:rPr>
          <w:rFonts w:hint="eastAsia" w:ascii="黑体" w:hAnsi="黑体" w:eastAsia="黑体" w:cs="宋体"/>
          <w:b/>
          <w:sz w:val="24"/>
          <w:szCs w:val="24"/>
        </w:rPr>
        <w:t>4.报价人资格要求：</w:t>
      </w:r>
    </w:p>
    <w:p>
      <w:pPr>
        <w:widowControl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报价人具备</w:t>
      </w:r>
      <w:r>
        <w:rPr>
          <w:rFonts w:hint="eastAsia" w:ascii="宋体" w:hAnsi="宋体" w:eastAsia="宋体" w:cs="宋体"/>
          <w:color w:val="0000FF"/>
          <w:sz w:val="24"/>
          <w:szCs w:val="24"/>
          <w:lang w:eastAsia="zh-CN"/>
        </w:rPr>
        <w:t>不低于</w:t>
      </w:r>
      <w:r>
        <w:rPr>
          <w:rFonts w:hint="eastAsia" w:ascii="宋体" w:hAnsi="宋体" w:eastAsia="宋体" w:cs="宋体"/>
          <w:sz w:val="24"/>
          <w:szCs w:val="24"/>
        </w:rPr>
        <w:t>房屋建筑工程施工总承包叁级</w:t>
      </w:r>
      <w:r>
        <w:rPr>
          <w:rFonts w:hint="eastAsia" w:ascii="宋体" w:hAnsi="宋体" w:eastAsia="宋体" w:cs="宋体"/>
          <w:color w:val="0000FF"/>
          <w:sz w:val="24"/>
          <w:szCs w:val="24"/>
          <w:lang w:eastAsia="zh-CN"/>
        </w:rPr>
        <w:t>或建筑装修装饰工程专业承包贰级</w:t>
      </w:r>
      <w:r>
        <w:rPr>
          <w:rFonts w:hint="eastAsia" w:ascii="宋体" w:hAnsi="宋体" w:eastAsia="宋体" w:cs="宋体"/>
          <w:color w:val="0000FF"/>
          <w:sz w:val="24"/>
          <w:szCs w:val="24"/>
        </w:rPr>
        <w:t>资质；</w:t>
      </w:r>
      <w:r>
        <w:rPr>
          <w:rFonts w:hint="eastAsia" w:ascii="宋体" w:hAnsi="宋体" w:eastAsia="宋体" w:cs="宋体"/>
          <w:sz w:val="24"/>
          <w:szCs w:val="24"/>
          <w:lang w:eastAsia="zh-CN"/>
        </w:rPr>
        <w:t>并具备</w:t>
      </w:r>
      <w:r>
        <w:rPr>
          <w:rFonts w:hint="eastAsia" w:ascii="宋体" w:hAnsi="宋体" w:eastAsia="宋体" w:cs="宋体"/>
          <w:sz w:val="24"/>
          <w:szCs w:val="24"/>
        </w:rPr>
        <w:t>相应的安全生产许可证</w:t>
      </w:r>
      <w:r>
        <w:rPr>
          <w:rFonts w:hint="eastAsia" w:ascii="宋体" w:hAnsi="宋体" w:eastAsia="宋体" w:cs="宋体"/>
          <w:color w:val="0000FF"/>
          <w:sz w:val="24"/>
          <w:szCs w:val="24"/>
          <w:lang w:val="en-US" w:eastAsia="zh-CN"/>
        </w:rPr>
        <w:t>B证及以上</w:t>
      </w:r>
      <w:r>
        <w:rPr>
          <w:rFonts w:hint="eastAsia" w:ascii="宋体" w:hAnsi="宋体" w:eastAsia="宋体" w:cs="宋体"/>
          <w:color w:val="0000FF"/>
          <w:sz w:val="24"/>
          <w:szCs w:val="24"/>
        </w:rPr>
        <w:t>。</w:t>
      </w:r>
    </w:p>
    <w:p>
      <w:pPr>
        <w:widowControl w:val="0"/>
        <w:spacing w:line="440" w:lineRule="exact"/>
        <w:ind w:firstLine="482" w:firstLineChars="200"/>
        <w:rPr>
          <w:rFonts w:ascii="宋体" w:hAnsi="宋体" w:eastAsia="宋体" w:cs="宋体"/>
          <w:sz w:val="24"/>
          <w:szCs w:val="24"/>
        </w:rPr>
      </w:pPr>
      <w:r>
        <w:rPr>
          <w:rStyle w:val="12"/>
          <w:rFonts w:hint="eastAsia" w:ascii="黑体" w:hAnsi="黑体" w:eastAsia="黑体" w:cs="宋体"/>
          <w:sz w:val="24"/>
          <w:szCs w:val="24"/>
        </w:rPr>
        <w:t>5.工程工期：</w:t>
      </w:r>
      <w:r>
        <w:rPr>
          <w:rFonts w:hint="eastAsia" w:ascii="宋体" w:hAnsi="宋体" w:eastAsia="宋体" w:cs="宋体"/>
          <w:sz w:val="24"/>
          <w:szCs w:val="24"/>
        </w:rPr>
        <w:t>合同要求工期40日历天完成。</w:t>
      </w:r>
    </w:p>
    <w:p>
      <w:pPr>
        <w:widowControl w:val="0"/>
        <w:spacing w:line="440" w:lineRule="exact"/>
        <w:ind w:firstLine="482" w:firstLineChars="200"/>
        <w:rPr>
          <w:rFonts w:ascii="宋体" w:hAnsi="宋体" w:eastAsia="宋体" w:cs="宋体"/>
          <w:sz w:val="24"/>
          <w:szCs w:val="24"/>
        </w:rPr>
      </w:pPr>
      <w:r>
        <w:rPr>
          <w:rFonts w:hint="eastAsia" w:ascii="黑体" w:hAnsi="黑体" w:eastAsia="黑体" w:cs="宋体"/>
          <w:b/>
          <w:sz w:val="24"/>
          <w:szCs w:val="24"/>
        </w:rPr>
        <w:t>6.</w:t>
      </w:r>
      <w:r>
        <w:rPr>
          <w:rFonts w:hint="eastAsia" w:ascii="黑体" w:hAnsi="黑体" w:eastAsia="黑体" w:cs="宋体"/>
          <w:b/>
          <w:bCs/>
          <w:sz w:val="24"/>
          <w:szCs w:val="24"/>
        </w:rPr>
        <w:t>质量要求</w:t>
      </w:r>
      <w:r>
        <w:rPr>
          <w:rFonts w:hint="eastAsia" w:ascii="黑体" w:hAnsi="黑体" w:eastAsia="黑体" w:cs="宋体"/>
          <w:b/>
          <w:sz w:val="24"/>
          <w:szCs w:val="24"/>
        </w:rPr>
        <w:t>：</w:t>
      </w:r>
      <w:r>
        <w:rPr>
          <w:rFonts w:hint="eastAsia" w:ascii="宋体" w:hAnsi="宋体" w:eastAsia="宋体" w:cs="宋体"/>
          <w:sz w:val="24"/>
          <w:szCs w:val="24"/>
        </w:rPr>
        <w:t>工程质量合格，同时满足使用功能的要求。</w:t>
      </w:r>
    </w:p>
    <w:p>
      <w:pPr>
        <w:widowControl w:val="0"/>
        <w:spacing w:line="440" w:lineRule="exact"/>
        <w:ind w:firstLine="482" w:firstLineChars="200"/>
        <w:rPr>
          <w:rFonts w:ascii="宋体" w:hAnsi="宋体" w:eastAsia="宋体" w:cs="宋体"/>
          <w:sz w:val="24"/>
          <w:szCs w:val="24"/>
        </w:rPr>
      </w:pPr>
      <w:r>
        <w:rPr>
          <w:rFonts w:hint="eastAsia" w:ascii="黑体" w:hAnsi="黑体" w:eastAsia="黑体" w:cs="宋体"/>
          <w:b/>
          <w:bCs/>
          <w:sz w:val="24"/>
          <w:szCs w:val="24"/>
        </w:rPr>
        <w:t>7.最高限价：</w:t>
      </w:r>
      <w:r>
        <w:rPr>
          <w:rFonts w:hint="eastAsia" w:ascii="宋体" w:hAnsi="宋体" w:eastAsia="宋体" w:cs="宋体"/>
          <w:sz w:val="24"/>
          <w:szCs w:val="24"/>
        </w:rPr>
        <w:t>工程总包</w:t>
      </w:r>
      <w:r>
        <w:rPr>
          <w:rFonts w:hint="eastAsia" w:ascii="宋体" w:hAnsi="宋体" w:eastAsia="宋体" w:cs="宋体"/>
          <w:sz w:val="24"/>
          <w:szCs w:val="24"/>
          <w:lang w:eastAsia="zh-CN"/>
        </w:rPr>
        <w:t>报</w:t>
      </w:r>
      <w:r>
        <w:rPr>
          <w:rFonts w:hint="eastAsia" w:ascii="宋体" w:hAnsi="宋体" w:eastAsia="宋体" w:cs="宋体"/>
          <w:sz w:val="24"/>
          <w:szCs w:val="24"/>
        </w:rPr>
        <w:t>价</w:t>
      </w: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EPS</w:t>
      </w:r>
      <w:r>
        <w:rPr>
          <w:rFonts w:hint="eastAsia" w:ascii="宋体" w:hAnsi="宋体" w:eastAsia="宋体" w:cs="宋体"/>
          <w:color w:val="0000FF"/>
          <w:sz w:val="24"/>
          <w:szCs w:val="24"/>
          <w:lang w:eastAsia="zh-CN"/>
        </w:rPr>
        <w:t>）</w:t>
      </w:r>
      <w:r>
        <w:rPr>
          <w:rFonts w:hint="eastAsia" w:ascii="宋体" w:hAnsi="宋体" w:eastAsia="宋体" w:cs="宋体"/>
          <w:sz w:val="24"/>
          <w:szCs w:val="24"/>
        </w:rPr>
        <w:t>53.7万元人民币（伍拾叁万柒仟元整），工程总包价含设计、原材料</w:t>
      </w:r>
      <w:r>
        <w:rPr>
          <w:rFonts w:hint="eastAsia" w:ascii="宋体" w:hAnsi="宋体" w:eastAsia="宋体" w:cs="宋体"/>
          <w:sz w:val="24"/>
          <w:szCs w:val="24"/>
          <w:lang w:eastAsia="zh-CN"/>
        </w:rPr>
        <w:t>采购</w:t>
      </w:r>
      <w:r>
        <w:rPr>
          <w:rFonts w:hint="eastAsia" w:ascii="宋体" w:hAnsi="宋体" w:eastAsia="宋体" w:cs="宋体"/>
          <w:sz w:val="24"/>
          <w:szCs w:val="24"/>
        </w:rPr>
        <w:t>、运费、施工、工程管理、安全管理、税费等所有费用。</w:t>
      </w:r>
    </w:p>
    <w:p>
      <w:pPr>
        <w:widowControl w:val="0"/>
        <w:spacing w:line="440" w:lineRule="exact"/>
        <w:ind w:firstLine="482" w:firstLineChars="200"/>
        <w:rPr>
          <w:rFonts w:ascii="黑体" w:hAnsi="黑体" w:eastAsia="黑体" w:cs="宋体"/>
          <w:b/>
          <w:sz w:val="24"/>
          <w:szCs w:val="24"/>
        </w:rPr>
      </w:pPr>
      <w:r>
        <w:rPr>
          <w:rFonts w:hint="eastAsia" w:ascii="黑体" w:hAnsi="黑体" w:eastAsia="黑体" w:cs="宋体"/>
          <w:b/>
          <w:sz w:val="24"/>
          <w:szCs w:val="24"/>
        </w:rPr>
        <w:t>8.付款方式</w:t>
      </w:r>
    </w:p>
    <w:p>
      <w:pPr>
        <w:widowControl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本项目签约后，支付总工程价</w:t>
      </w:r>
      <w:r>
        <w:rPr>
          <w:rFonts w:hint="eastAsia" w:ascii="宋体" w:hAnsi="宋体" w:eastAsia="宋体" w:cs="宋体"/>
          <w:sz w:val="24"/>
          <w:szCs w:val="24"/>
          <w:u w:val="single"/>
        </w:rPr>
        <w:t>30%</w:t>
      </w:r>
      <w:r>
        <w:rPr>
          <w:rFonts w:hint="eastAsia" w:ascii="宋体" w:hAnsi="宋体" w:eastAsia="宋体" w:cs="宋体"/>
          <w:sz w:val="24"/>
          <w:szCs w:val="24"/>
        </w:rPr>
        <w:t>的预付款，不支付进度款。项目竣工完成，现场验收合格，项目内业资料归档，审核完成，合作方（以下简称“乙方”）开具增值税专用发票30天内，询价方（以下简称“甲方”）支付65%的工程款，预留工程总造价的5%做为项目质保金，由甲方预留壹年，质保金不计利息。质保期内发生项目质量问题由合作乙方无偿返修。乙方接到通知后应立即派人维修，否则甲方自行处理，其费用在质保金内扣除。</w:t>
      </w:r>
    </w:p>
    <w:p>
      <w:pPr>
        <w:widowControl w:val="0"/>
        <w:spacing w:line="440" w:lineRule="exact"/>
        <w:ind w:firstLine="482" w:firstLineChars="200"/>
        <w:rPr>
          <w:rFonts w:ascii="黑体" w:hAnsi="黑体" w:eastAsia="黑体" w:cs="宋体"/>
          <w:b/>
          <w:sz w:val="24"/>
          <w:szCs w:val="24"/>
        </w:rPr>
      </w:pPr>
      <w:r>
        <w:rPr>
          <w:rFonts w:ascii="黑体" w:hAnsi="黑体" w:eastAsia="黑体" w:cs="宋体"/>
          <w:b/>
          <w:sz w:val="24"/>
          <w:szCs w:val="24"/>
        </w:rPr>
        <w:t>9.</w:t>
      </w:r>
      <w:r>
        <w:rPr>
          <w:rFonts w:hint="eastAsia" w:ascii="黑体" w:hAnsi="黑体" w:eastAsia="黑体" w:cs="宋体"/>
          <w:b/>
          <w:sz w:val="24"/>
          <w:szCs w:val="24"/>
        </w:rPr>
        <w:t>报价保证金、履约保证金要求</w:t>
      </w:r>
    </w:p>
    <w:p>
      <w:pPr>
        <w:widowControl w:val="0"/>
        <w:spacing w:line="440" w:lineRule="exact"/>
        <w:ind w:firstLine="480" w:firstLineChars="200"/>
        <w:rPr>
          <w:rFonts w:cs="宋体" w:asciiTheme="minorEastAsia" w:hAnsiTheme="minorEastAsia" w:eastAsiaTheme="minorEastAsia"/>
          <w:bCs/>
          <w:sz w:val="24"/>
          <w:szCs w:val="24"/>
        </w:rPr>
      </w:pPr>
      <w:r>
        <w:rPr>
          <w:rFonts w:hint="eastAsia" w:cs="宋体" w:asciiTheme="minorEastAsia" w:hAnsiTheme="minorEastAsia" w:eastAsiaTheme="minorEastAsia"/>
          <w:bCs/>
          <w:sz w:val="24"/>
          <w:szCs w:val="24"/>
        </w:rPr>
        <w:t>报价履约保证金:30000元人民币（大写叁万元整）。（报价</w:t>
      </w:r>
      <w:r>
        <w:rPr>
          <w:rFonts w:hint="eastAsia" w:asciiTheme="minorEastAsia" w:hAnsiTheme="minorEastAsia" w:eastAsiaTheme="minorEastAsia"/>
          <w:bCs/>
          <w:sz w:val="24"/>
        </w:rPr>
        <w:t>保证金直接转为合同履约保证金</w:t>
      </w:r>
      <w:r>
        <w:rPr>
          <w:rFonts w:hint="eastAsia" w:cs="宋体" w:asciiTheme="minorEastAsia" w:hAnsiTheme="minorEastAsia" w:eastAsiaTheme="minorEastAsia"/>
          <w:bCs/>
          <w:sz w:val="24"/>
          <w:szCs w:val="24"/>
        </w:rPr>
        <w:t>）</w:t>
      </w:r>
      <w:r>
        <w:rPr>
          <w:rFonts w:hint="eastAsia" w:asciiTheme="minorEastAsia" w:hAnsiTheme="minorEastAsia" w:eastAsiaTheme="minorEastAsia"/>
          <w:b/>
          <w:bCs/>
          <w:sz w:val="24"/>
        </w:rPr>
        <w:t>。</w:t>
      </w:r>
      <w:r>
        <w:rPr>
          <w:rFonts w:hint="eastAsia" w:asciiTheme="minorEastAsia" w:hAnsiTheme="minorEastAsia" w:eastAsiaTheme="minorEastAsia"/>
          <w:sz w:val="24"/>
        </w:rPr>
        <w:t>报价人提交的报价履约保证金应在询价方开展评价前汇入</w:t>
      </w:r>
      <w:r>
        <w:rPr>
          <w:rFonts w:hint="eastAsia" w:cs="宋体" w:asciiTheme="minorEastAsia" w:hAnsiTheme="minorEastAsia" w:eastAsiaTheme="minorEastAsia"/>
          <w:bCs/>
          <w:sz w:val="24"/>
          <w:szCs w:val="24"/>
        </w:rPr>
        <w:t>福建省盐业集团有限责任公司账户，账号：1402023219600351795  开户行：中国工商银行股份有限公司福州鼓楼支行。</w:t>
      </w:r>
    </w:p>
    <w:p>
      <w:pPr>
        <w:widowControl w:val="0"/>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询价方在评价结束后3日内，将各自的</w:t>
      </w:r>
      <w:r>
        <w:rPr>
          <w:rFonts w:hint="eastAsia" w:cs="宋体" w:asciiTheme="minorEastAsia" w:hAnsiTheme="minorEastAsia" w:eastAsiaTheme="minorEastAsia"/>
          <w:bCs/>
          <w:sz w:val="24"/>
          <w:szCs w:val="24"/>
        </w:rPr>
        <w:t>报价履约保证金</w:t>
      </w:r>
      <w:r>
        <w:rPr>
          <w:rFonts w:hint="eastAsia" w:asciiTheme="minorEastAsia" w:hAnsiTheme="minorEastAsia" w:eastAsiaTheme="minorEastAsia"/>
          <w:sz w:val="24"/>
        </w:rPr>
        <w:t>无息退还给未合作的报价人，有合作的报价人的</w:t>
      </w:r>
      <w:r>
        <w:rPr>
          <w:rFonts w:hint="eastAsia" w:cs="宋体" w:asciiTheme="minorEastAsia" w:hAnsiTheme="minorEastAsia" w:eastAsiaTheme="minorEastAsia"/>
          <w:bCs/>
          <w:sz w:val="24"/>
          <w:szCs w:val="24"/>
        </w:rPr>
        <w:t>报价履约保证金自动转为</w:t>
      </w:r>
      <w:r>
        <w:rPr>
          <w:rFonts w:hint="eastAsia" w:asciiTheme="minorEastAsia" w:hAnsiTheme="minorEastAsia" w:eastAsiaTheme="minorEastAsia"/>
          <w:sz w:val="24"/>
        </w:rPr>
        <w:t>合同</w:t>
      </w:r>
      <w:r>
        <w:rPr>
          <w:rFonts w:hint="eastAsia" w:cs="宋体" w:asciiTheme="minorEastAsia" w:hAnsiTheme="minorEastAsia" w:eastAsiaTheme="minorEastAsia"/>
          <w:bCs/>
          <w:sz w:val="24"/>
          <w:szCs w:val="24"/>
        </w:rPr>
        <w:t>履约保证金</w:t>
      </w:r>
    </w:p>
    <w:p>
      <w:pPr>
        <w:widowControl w:val="0"/>
        <w:spacing w:line="440" w:lineRule="exact"/>
        <w:ind w:firstLine="482" w:firstLineChars="200"/>
        <w:rPr>
          <w:rFonts w:hint="eastAsia" w:ascii="黑体" w:hAnsi="黑体" w:eastAsia="黑体" w:cs="宋体"/>
          <w:b/>
          <w:sz w:val="24"/>
          <w:szCs w:val="24"/>
        </w:rPr>
      </w:pPr>
      <w:r>
        <w:rPr>
          <w:rFonts w:hint="eastAsia" w:ascii="黑体" w:hAnsi="黑体" w:eastAsia="黑体" w:cs="宋体"/>
          <w:b/>
          <w:sz w:val="24"/>
          <w:szCs w:val="24"/>
        </w:rPr>
        <w:t>10.其它要求见合同（附件四）。</w:t>
      </w:r>
    </w:p>
    <w:p>
      <w:pPr>
        <w:widowControl w:val="0"/>
        <w:spacing w:line="440" w:lineRule="exact"/>
        <w:ind w:firstLine="482" w:firstLineChars="200"/>
        <w:rPr>
          <w:rFonts w:ascii="黑体" w:hAnsi="黑体" w:eastAsia="黑体" w:cs="宋体"/>
          <w:b/>
          <w:sz w:val="24"/>
          <w:szCs w:val="24"/>
        </w:rPr>
      </w:pPr>
      <w:r>
        <w:rPr>
          <w:rFonts w:hint="eastAsia" w:ascii="黑体" w:hAnsi="黑体" w:eastAsia="黑体" w:cs="宋体"/>
          <w:b/>
          <w:sz w:val="24"/>
          <w:szCs w:val="24"/>
        </w:rPr>
        <w:t>11.评</w:t>
      </w:r>
      <w:r>
        <w:rPr>
          <w:rFonts w:hint="eastAsia" w:ascii="黑体" w:hAnsi="黑体" w:eastAsia="黑体" w:cs="宋体"/>
          <w:b/>
          <w:sz w:val="24"/>
          <w:szCs w:val="24"/>
          <w:lang w:val="en-US" w:eastAsia="zh-CN"/>
        </w:rPr>
        <w:t>价</w:t>
      </w:r>
      <w:r>
        <w:rPr>
          <w:rFonts w:hint="eastAsia" w:ascii="黑体" w:hAnsi="黑体" w:eastAsia="黑体" w:cs="宋体"/>
          <w:b/>
          <w:sz w:val="24"/>
          <w:szCs w:val="24"/>
        </w:rPr>
        <w:t>方式</w:t>
      </w:r>
    </w:p>
    <w:p>
      <w:pPr>
        <w:widowControl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本项目评价方法采取综合评分法，</w:t>
      </w:r>
      <w:r>
        <w:rPr>
          <w:rFonts w:hint="eastAsia" w:ascii="宋体" w:hAnsi="宋体" w:eastAsia="宋体" w:cs="宋体"/>
          <w:sz w:val="24"/>
          <w:szCs w:val="24"/>
          <w:lang w:val="en-US" w:eastAsia="zh-CN"/>
        </w:rPr>
        <w:t>由询价方组成评价小组进行评价，选取综合</w:t>
      </w:r>
      <w:r>
        <w:rPr>
          <w:rFonts w:hint="eastAsia" w:ascii="宋体" w:hAnsi="宋体" w:eastAsia="宋体" w:cs="宋体"/>
          <w:sz w:val="24"/>
          <w:szCs w:val="24"/>
        </w:rPr>
        <w:t>得分最高</w:t>
      </w:r>
      <w:r>
        <w:rPr>
          <w:rFonts w:hint="eastAsia" w:ascii="宋体" w:hAnsi="宋体" w:eastAsia="宋体" w:cs="宋体"/>
          <w:sz w:val="24"/>
          <w:szCs w:val="24"/>
          <w:lang w:val="en-US" w:eastAsia="zh-CN"/>
        </w:rPr>
        <w:t>者进行</w:t>
      </w:r>
      <w:r>
        <w:rPr>
          <w:rFonts w:hint="eastAsia" w:ascii="宋体" w:hAnsi="宋体" w:eastAsia="宋体" w:cs="宋体"/>
          <w:sz w:val="24"/>
          <w:szCs w:val="24"/>
        </w:rPr>
        <w:t>合作。如报价方未满三家供应商，将采取现场议价</w:t>
      </w:r>
      <w:r>
        <w:rPr>
          <w:rFonts w:hint="eastAsia" w:ascii="宋体" w:hAnsi="宋体" w:eastAsia="宋体" w:cs="宋体"/>
          <w:sz w:val="24"/>
          <w:szCs w:val="24"/>
          <w:lang w:val="en-US" w:eastAsia="zh-CN"/>
        </w:rPr>
        <w:t>的</w:t>
      </w:r>
      <w:r>
        <w:rPr>
          <w:rFonts w:hint="eastAsia" w:ascii="宋体" w:hAnsi="宋体" w:eastAsia="宋体" w:cs="宋体"/>
          <w:sz w:val="24"/>
          <w:szCs w:val="24"/>
        </w:rPr>
        <w:t>方式进行议价。</w:t>
      </w:r>
    </w:p>
    <w:tbl>
      <w:tblPr>
        <w:tblStyle w:val="10"/>
        <w:tblW w:w="8874" w:type="dxa"/>
        <w:tblInd w:w="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645"/>
        <w:gridCol w:w="1275"/>
        <w:gridCol w:w="1232"/>
        <w:gridCol w:w="57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213" w:hRule="atLeast"/>
        </w:trPr>
        <w:tc>
          <w:tcPr>
            <w:tcW w:w="645" w:type="dxa"/>
            <w:tcBorders>
              <w:top w:val="single" w:color="auto" w:sz="4" w:space="0"/>
              <w:bottom w:val="single" w:color="auto" w:sz="4" w:space="0"/>
              <w:right w:val="single" w:color="auto" w:sz="4" w:space="0"/>
            </w:tcBorders>
            <w:noWrap/>
            <w:vAlign w:val="center"/>
          </w:tcPr>
          <w:p>
            <w:pPr>
              <w:pStyle w:val="6"/>
              <w:widowControl w:val="0"/>
              <w:adjustRightInd/>
              <w:spacing w:after="0"/>
              <w:jc w:val="center"/>
              <w:rPr>
                <w:rFonts w:hAnsi="宋体" w:eastAsia="宋体" w:cs="宋体"/>
                <w:snapToGrid/>
                <w:color w:val="auto"/>
                <w:sz w:val="24"/>
                <w:szCs w:val="24"/>
              </w:rPr>
            </w:pPr>
            <w:r>
              <w:rPr>
                <w:rFonts w:hint="eastAsia" w:hAnsi="宋体" w:eastAsia="宋体" w:cs="宋体"/>
                <w:snapToGrid/>
                <w:color w:val="auto"/>
                <w:sz w:val="24"/>
                <w:szCs w:val="24"/>
              </w:rPr>
              <w:t>序号</w:t>
            </w:r>
          </w:p>
        </w:tc>
        <w:tc>
          <w:tcPr>
            <w:tcW w:w="1275" w:type="dxa"/>
            <w:tcBorders>
              <w:top w:val="single" w:color="auto" w:sz="4" w:space="0"/>
              <w:bottom w:val="single" w:color="auto" w:sz="4" w:space="0"/>
              <w:right w:val="single" w:color="auto" w:sz="4" w:space="0"/>
            </w:tcBorders>
            <w:noWrap/>
            <w:vAlign w:val="center"/>
          </w:tcPr>
          <w:p>
            <w:pPr>
              <w:pStyle w:val="6"/>
              <w:widowControl w:val="0"/>
              <w:adjustRightInd/>
              <w:spacing w:after="0"/>
              <w:jc w:val="center"/>
              <w:rPr>
                <w:rFonts w:hAnsi="宋体" w:eastAsia="宋体" w:cs="宋体"/>
                <w:snapToGrid/>
                <w:color w:val="auto"/>
                <w:sz w:val="24"/>
                <w:szCs w:val="24"/>
              </w:rPr>
            </w:pPr>
            <w:r>
              <w:rPr>
                <w:rFonts w:hint="eastAsia" w:hAnsi="宋体" w:eastAsia="宋体" w:cs="宋体"/>
                <w:snapToGrid/>
                <w:color w:val="auto"/>
                <w:sz w:val="24"/>
                <w:szCs w:val="24"/>
              </w:rPr>
              <w:t>评议内容</w:t>
            </w:r>
          </w:p>
        </w:tc>
        <w:tc>
          <w:tcPr>
            <w:tcW w:w="1232" w:type="dxa"/>
            <w:tcBorders>
              <w:top w:val="single" w:color="auto" w:sz="4" w:space="0"/>
              <w:left w:val="single" w:color="auto" w:sz="4" w:space="0"/>
              <w:bottom w:val="single" w:color="auto" w:sz="4" w:space="0"/>
              <w:right w:val="single" w:color="auto" w:sz="4" w:space="0"/>
            </w:tcBorders>
            <w:noWrap/>
            <w:vAlign w:val="center"/>
          </w:tcPr>
          <w:p>
            <w:pPr>
              <w:pStyle w:val="6"/>
              <w:widowControl w:val="0"/>
              <w:adjustRightInd/>
              <w:spacing w:after="0"/>
              <w:jc w:val="center"/>
              <w:rPr>
                <w:rFonts w:hAnsi="宋体" w:eastAsia="宋体" w:cs="宋体"/>
                <w:snapToGrid/>
                <w:color w:val="auto"/>
                <w:sz w:val="24"/>
                <w:szCs w:val="24"/>
              </w:rPr>
            </w:pPr>
            <w:r>
              <w:rPr>
                <w:rFonts w:hint="eastAsia" w:hAnsi="宋体" w:eastAsia="宋体" w:cs="宋体"/>
                <w:snapToGrid/>
                <w:color w:val="auto"/>
                <w:sz w:val="24"/>
                <w:szCs w:val="24"/>
              </w:rPr>
              <w:t>分值</w:t>
            </w:r>
          </w:p>
        </w:tc>
        <w:tc>
          <w:tcPr>
            <w:tcW w:w="5722" w:type="dxa"/>
            <w:tcBorders>
              <w:top w:val="single" w:color="auto" w:sz="4" w:space="0"/>
              <w:left w:val="single" w:color="auto" w:sz="4" w:space="0"/>
              <w:bottom w:val="single" w:color="auto" w:sz="4" w:space="0"/>
              <w:right w:val="single" w:color="auto" w:sz="4" w:space="0"/>
            </w:tcBorders>
            <w:noWrap/>
            <w:vAlign w:val="center"/>
          </w:tcPr>
          <w:p>
            <w:pPr>
              <w:pStyle w:val="6"/>
              <w:widowControl w:val="0"/>
              <w:adjustRightInd/>
              <w:spacing w:after="0"/>
              <w:jc w:val="center"/>
              <w:rPr>
                <w:rFonts w:hAnsi="宋体" w:eastAsia="宋体" w:cs="宋体"/>
                <w:snapToGrid/>
                <w:color w:val="auto"/>
                <w:sz w:val="24"/>
                <w:szCs w:val="24"/>
              </w:rPr>
            </w:pPr>
            <w:r>
              <w:rPr>
                <w:rFonts w:hint="eastAsia" w:hAnsi="宋体" w:eastAsia="宋体" w:cs="宋体"/>
                <w:snapToGrid/>
                <w:color w:val="auto"/>
                <w:sz w:val="24"/>
                <w:szCs w:val="24"/>
              </w:rPr>
              <w:t>评议办法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22" w:hRule="atLeast"/>
        </w:trPr>
        <w:tc>
          <w:tcPr>
            <w:tcW w:w="645" w:type="dxa"/>
            <w:tcBorders>
              <w:top w:val="single" w:color="auto" w:sz="4" w:space="0"/>
              <w:bottom w:val="single" w:color="auto" w:sz="4" w:space="0"/>
              <w:right w:val="single" w:color="auto" w:sz="4" w:space="0"/>
            </w:tcBorders>
            <w:noWrap/>
            <w:vAlign w:val="center"/>
          </w:tcPr>
          <w:p>
            <w:pPr>
              <w:spacing w:after="0"/>
              <w:jc w:val="center"/>
              <w:rPr>
                <w:rFonts w:hint="eastAsia" w:ascii="宋体" w:hAnsi="宋体" w:eastAsia="宋体" w:cs="宋体"/>
              </w:rPr>
            </w:pPr>
            <w:r>
              <w:rPr>
                <w:rFonts w:hint="eastAsia" w:ascii="宋体" w:hAnsi="宋体" w:eastAsia="宋体" w:cs="宋体"/>
              </w:rPr>
              <w:t>1</w:t>
            </w:r>
          </w:p>
        </w:tc>
        <w:tc>
          <w:tcPr>
            <w:tcW w:w="1275" w:type="dxa"/>
            <w:tcBorders>
              <w:top w:val="single" w:color="auto" w:sz="4" w:space="0"/>
              <w:bottom w:val="single" w:color="auto" w:sz="4" w:space="0"/>
              <w:right w:val="single" w:color="auto" w:sz="4" w:space="0"/>
            </w:tcBorders>
            <w:noWrap/>
            <w:vAlign w:val="center"/>
          </w:tcPr>
          <w:p>
            <w:pPr>
              <w:spacing w:after="0"/>
              <w:jc w:val="center"/>
              <w:rPr>
                <w:rFonts w:hint="eastAsia" w:ascii="宋体" w:hAnsi="宋体" w:eastAsia="宋体" w:cs="宋体"/>
              </w:rPr>
            </w:pPr>
            <w:r>
              <w:rPr>
                <w:rFonts w:hint="eastAsia" w:ascii="宋体" w:hAnsi="宋体" w:eastAsia="宋体" w:cs="宋体"/>
              </w:rPr>
              <w:t>报价评分</w:t>
            </w:r>
          </w:p>
        </w:tc>
        <w:tc>
          <w:tcPr>
            <w:tcW w:w="1232" w:type="dxa"/>
            <w:tcBorders>
              <w:top w:val="single" w:color="auto" w:sz="4" w:space="0"/>
              <w:left w:val="single" w:color="auto" w:sz="4" w:space="0"/>
              <w:bottom w:val="single" w:color="auto" w:sz="4" w:space="0"/>
              <w:right w:val="single" w:color="auto" w:sz="4" w:space="0"/>
            </w:tcBorders>
            <w:noWrap/>
            <w:vAlign w:val="center"/>
          </w:tcPr>
          <w:p>
            <w:pPr>
              <w:widowControl w:val="0"/>
              <w:spacing w:after="0"/>
              <w:jc w:val="center"/>
              <w:rPr>
                <w:rFonts w:hint="eastAsia" w:ascii="宋体" w:hAnsi="宋体" w:eastAsia="宋体" w:cs="宋体"/>
                <w:kern w:val="2"/>
                <w:sz w:val="21"/>
                <w:szCs w:val="24"/>
              </w:rPr>
            </w:pPr>
            <w:r>
              <w:rPr>
                <w:rFonts w:hint="eastAsia" w:ascii="宋体" w:hAnsi="宋体" w:eastAsia="宋体" w:cs="宋体"/>
                <w:kern w:val="2"/>
                <w:sz w:val="21"/>
                <w:szCs w:val="24"/>
              </w:rPr>
              <w:t>80分</w:t>
            </w:r>
          </w:p>
        </w:tc>
        <w:tc>
          <w:tcPr>
            <w:tcW w:w="5722" w:type="dxa"/>
            <w:tcBorders>
              <w:top w:val="single" w:color="auto" w:sz="4" w:space="0"/>
              <w:left w:val="single" w:color="auto" w:sz="4" w:space="0"/>
              <w:bottom w:val="single" w:color="auto" w:sz="4" w:space="0"/>
              <w:right w:val="single" w:color="auto" w:sz="4" w:space="0"/>
            </w:tcBorders>
            <w:noWrap/>
          </w:tcPr>
          <w:p>
            <w:pPr>
              <w:spacing w:after="0"/>
              <w:ind w:left="187" w:leftChars="85" w:right="187" w:rightChars="85" w:firstLine="402" w:firstLineChars="183"/>
              <w:rPr>
                <w:rFonts w:hint="eastAsia" w:ascii="宋体" w:hAnsi="宋体" w:eastAsia="宋体" w:cs="宋体"/>
              </w:rPr>
            </w:pPr>
            <w:r>
              <w:rPr>
                <w:rFonts w:hint="eastAsia" w:ascii="宋体" w:hAnsi="宋体" w:eastAsia="宋体" w:cs="宋体"/>
              </w:rPr>
              <w:t>本项目设有最高限价，凡乙方报价高于最高限价的，将被视为未实质性响应询价函文件。</w:t>
            </w:r>
          </w:p>
          <w:p>
            <w:pPr>
              <w:spacing w:after="0"/>
              <w:ind w:left="187" w:leftChars="85" w:right="187" w:rightChars="85" w:firstLine="402" w:firstLineChars="183"/>
              <w:rPr>
                <w:rFonts w:hint="eastAsia" w:ascii="宋体" w:hAnsi="宋体" w:eastAsia="宋体" w:cs="宋体"/>
              </w:rPr>
            </w:pPr>
            <w:r>
              <w:rPr>
                <w:rFonts w:hint="eastAsia" w:ascii="宋体" w:hAnsi="宋体" w:eastAsia="宋体" w:cs="宋体"/>
              </w:rPr>
              <w:t>F=80-(A-AD)÷AD×80</w:t>
            </w:r>
          </w:p>
          <w:p>
            <w:pPr>
              <w:spacing w:after="0"/>
              <w:ind w:left="187" w:leftChars="85" w:right="187" w:rightChars="85" w:firstLine="402" w:firstLineChars="183"/>
              <w:rPr>
                <w:rFonts w:hint="eastAsia" w:ascii="宋体" w:hAnsi="宋体" w:eastAsia="宋体" w:cs="宋体"/>
              </w:rPr>
            </w:pPr>
            <w:r>
              <w:rPr>
                <w:rFonts w:hint="eastAsia" w:ascii="宋体" w:hAnsi="宋体" w:eastAsia="宋体" w:cs="宋体"/>
              </w:rPr>
              <w:t>其中：</w:t>
            </w:r>
          </w:p>
          <w:p>
            <w:pPr>
              <w:spacing w:after="0"/>
              <w:ind w:left="187" w:leftChars="85" w:right="187" w:rightChars="85" w:firstLine="402" w:firstLineChars="183"/>
              <w:rPr>
                <w:rFonts w:hint="eastAsia" w:ascii="宋体" w:hAnsi="宋体" w:eastAsia="宋体" w:cs="宋体"/>
              </w:rPr>
            </w:pPr>
            <w:r>
              <w:rPr>
                <w:rFonts w:hint="eastAsia" w:ascii="宋体" w:hAnsi="宋体" w:eastAsia="宋体" w:cs="宋体"/>
              </w:rPr>
              <w:t>F为投标报价评分；</w:t>
            </w:r>
          </w:p>
          <w:p>
            <w:pPr>
              <w:spacing w:after="0"/>
              <w:ind w:left="187" w:leftChars="85" w:right="187" w:rightChars="85" w:firstLine="402" w:firstLineChars="183"/>
              <w:rPr>
                <w:rFonts w:hint="eastAsia" w:ascii="宋体" w:hAnsi="宋体" w:eastAsia="宋体" w:cs="宋体"/>
                <w:color w:val="0000FF"/>
              </w:rPr>
            </w:pPr>
            <w:r>
              <w:rPr>
                <w:rFonts w:hint="eastAsia" w:ascii="宋体" w:hAnsi="宋体" w:eastAsia="宋体" w:cs="宋体"/>
              </w:rPr>
              <w:t xml:space="preserve">A </w:t>
            </w:r>
            <w:r>
              <w:rPr>
                <w:rFonts w:hint="eastAsia" w:ascii="宋体" w:hAnsi="宋体" w:eastAsia="宋体" w:cs="宋体"/>
                <w:color w:val="0000FF"/>
              </w:rPr>
              <w:t>为投标报价；</w:t>
            </w:r>
          </w:p>
          <w:p>
            <w:pPr>
              <w:spacing w:after="0"/>
              <w:ind w:left="187" w:leftChars="85" w:right="187" w:rightChars="85" w:firstLine="402" w:firstLineChars="183"/>
              <w:rPr>
                <w:rFonts w:hint="eastAsia" w:ascii="宋体" w:hAnsi="宋体" w:eastAsia="宋体" w:cs="宋体"/>
                <w:kern w:val="2"/>
                <w:sz w:val="21"/>
                <w:szCs w:val="24"/>
              </w:rPr>
            </w:pPr>
            <w:r>
              <w:rPr>
                <w:rFonts w:hint="eastAsia" w:ascii="宋体" w:hAnsi="宋体" w:eastAsia="宋体" w:cs="宋体"/>
              </w:rPr>
              <w:t>AD为最低投标报价</w:t>
            </w:r>
            <w:r>
              <w:rPr>
                <w:rFonts w:hint="eastAsia" w:ascii="宋体" w:hAnsi="宋体" w:eastAsia="宋体" w:cs="宋体"/>
                <w:kern w:val="2"/>
                <w:sz w:val="21"/>
                <w:szCs w:val="24"/>
              </w:rPr>
              <w:t>；</w:t>
            </w:r>
          </w:p>
          <w:p>
            <w:pPr>
              <w:widowControl w:val="0"/>
              <w:spacing w:after="0"/>
              <w:jc w:val="both"/>
              <w:rPr>
                <w:rFonts w:hint="eastAsia" w:ascii="宋体" w:hAnsi="宋体" w:eastAsia="宋体" w:cs="宋体"/>
                <w:kern w:val="2"/>
                <w:sz w:val="21"/>
                <w:szCs w:val="24"/>
              </w:rPr>
            </w:pPr>
            <w:r>
              <w:rPr>
                <w:rFonts w:hint="eastAsia" w:ascii="宋体" w:hAnsi="宋体" w:eastAsia="宋体" w:cs="宋体"/>
                <w:b/>
                <w:bCs/>
                <w:kern w:val="2"/>
                <w:sz w:val="21"/>
                <w:szCs w:val="24"/>
              </w:rPr>
              <w:t>说明：计算过程均精确到小数点后二位数，第三位四舍五入。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36" w:hRule="atLeast"/>
        </w:trPr>
        <w:tc>
          <w:tcPr>
            <w:tcW w:w="645" w:type="dxa"/>
            <w:tcBorders>
              <w:top w:val="single" w:color="auto" w:sz="4" w:space="0"/>
              <w:bottom w:val="single" w:color="auto" w:sz="4" w:space="0"/>
              <w:right w:val="single" w:color="auto" w:sz="4" w:space="0"/>
            </w:tcBorders>
            <w:noWrap/>
            <w:vAlign w:val="center"/>
          </w:tcPr>
          <w:p>
            <w:pPr>
              <w:spacing w:after="0"/>
              <w:jc w:val="center"/>
              <w:rPr>
                <w:rFonts w:ascii="宋体" w:hAnsi="宋体" w:eastAsia="宋体" w:cs="Times New Roman"/>
              </w:rPr>
            </w:pPr>
            <w:r>
              <w:rPr>
                <w:rFonts w:hint="eastAsia" w:ascii="宋体" w:hAnsi="宋体" w:eastAsia="宋体" w:cs="Times New Roman"/>
              </w:rPr>
              <w:t>2</w:t>
            </w:r>
          </w:p>
        </w:tc>
        <w:tc>
          <w:tcPr>
            <w:tcW w:w="1275" w:type="dxa"/>
            <w:tcBorders>
              <w:top w:val="single" w:color="auto" w:sz="4" w:space="0"/>
              <w:bottom w:val="single" w:color="auto" w:sz="4" w:space="0"/>
              <w:right w:val="single" w:color="auto" w:sz="4" w:space="0"/>
            </w:tcBorders>
            <w:noWrap/>
            <w:vAlign w:val="center"/>
          </w:tcPr>
          <w:p>
            <w:pPr>
              <w:spacing w:after="0"/>
              <w:jc w:val="center"/>
              <w:rPr>
                <w:rFonts w:ascii="宋体" w:hAnsi="宋体" w:eastAsia="宋体" w:cs="Times New Roman"/>
              </w:rPr>
            </w:pPr>
            <w:r>
              <w:rPr>
                <w:rFonts w:hint="eastAsia" w:ascii="宋体" w:hAnsi="宋体" w:eastAsia="宋体" w:cs="Times New Roman"/>
              </w:rPr>
              <w:t>工期</w:t>
            </w:r>
            <w:r>
              <w:rPr>
                <w:rFonts w:ascii="宋体" w:hAnsi="宋体" w:eastAsia="宋体" w:cs="Times New Roman"/>
              </w:rPr>
              <w:t>评分</w:t>
            </w:r>
          </w:p>
        </w:tc>
        <w:tc>
          <w:tcPr>
            <w:tcW w:w="1232" w:type="dxa"/>
            <w:tcBorders>
              <w:top w:val="single" w:color="auto" w:sz="4" w:space="0"/>
              <w:left w:val="single" w:color="auto" w:sz="4" w:space="0"/>
              <w:bottom w:val="single" w:color="auto" w:sz="4" w:space="0"/>
              <w:right w:val="single" w:color="auto" w:sz="4" w:space="0"/>
            </w:tcBorders>
            <w:noWrap/>
            <w:vAlign w:val="center"/>
          </w:tcPr>
          <w:p>
            <w:pPr>
              <w:widowControl w:val="0"/>
              <w:spacing w:after="0"/>
              <w:jc w:val="center"/>
              <w:rPr>
                <w:rFonts w:ascii="宋体" w:hAnsi="宋体" w:eastAsia="宋体" w:cs="Times New Roman"/>
                <w:kern w:val="2"/>
                <w:sz w:val="21"/>
                <w:szCs w:val="24"/>
              </w:rPr>
            </w:pPr>
            <w:r>
              <w:rPr>
                <w:rFonts w:hint="eastAsia" w:ascii="宋体" w:hAnsi="宋体" w:eastAsia="宋体" w:cs="Times New Roman"/>
              </w:rPr>
              <w:t>20分</w:t>
            </w:r>
          </w:p>
        </w:tc>
        <w:tc>
          <w:tcPr>
            <w:tcW w:w="5722" w:type="dxa"/>
            <w:tcBorders>
              <w:top w:val="single" w:color="auto" w:sz="4" w:space="0"/>
              <w:left w:val="single" w:color="auto" w:sz="4" w:space="0"/>
              <w:bottom w:val="single" w:color="auto" w:sz="4" w:space="0"/>
              <w:right w:val="single" w:color="auto" w:sz="4" w:space="0"/>
            </w:tcBorders>
            <w:noWrap/>
          </w:tcPr>
          <w:p>
            <w:pPr>
              <w:widowControl w:val="0"/>
              <w:spacing w:after="0"/>
              <w:ind w:firstLine="315" w:firstLineChars="150"/>
              <w:jc w:val="both"/>
              <w:rPr>
                <w:rFonts w:ascii="宋体" w:hAnsi="宋体" w:eastAsia="宋体" w:cs="Times New Roman"/>
                <w:kern w:val="2"/>
                <w:sz w:val="21"/>
                <w:szCs w:val="24"/>
              </w:rPr>
            </w:pPr>
            <w:r>
              <w:rPr>
                <w:rFonts w:hint="eastAsia" w:ascii="宋体" w:hAnsi="宋体" w:eastAsia="宋体" w:cs="Times New Roman"/>
                <w:kern w:val="2"/>
                <w:sz w:val="21"/>
                <w:szCs w:val="24"/>
              </w:rPr>
              <w:t>计分公式：</w:t>
            </w:r>
          </w:p>
          <w:p>
            <w:pPr>
              <w:widowControl w:val="0"/>
              <w:spacing w:after="0"/>
              <w:ind w:firstLine="210" w:firstLineChars="100"/>
              <w:jc w:val="both"/>
              <w:rPr>
                <w:rFonts w:hint="eastAsia" w:ascii="宋体" w:hAnsi="宋体" w:eastAsia="宋体" w:cs="Times New Roman"/>
                <w:kern w:val="2"/>
                <w:sz w:val="21"/>
                <w:szCs w:val="24"/>
                <w:lang w:val="en-US" w:eastAsia="zh-CN"/>
              </w:rPr>
            </w:pPr>
            <w:r>
              <w:rPr>
                <w:rFonts w:hint="eastAsia" w:ascii="宋体" w:hAnsi="宋体" w:eastAsia="宋体" w:cs="Times New Roman"/>
                <w:kern w:val="2"/>
                <w:sz w:val="21"/>
                <w:szCs w:val="24"/>
              </w:rPr>
              <w:t>得分=（40-承诺工期日历天数）*0.5</w:t>
            </w:r>
            <w:r>
              <w:rPr>
                <w:rFonts w:hint="eastAsia" w:ascii="宋体" w:hAnsi="宋体" w:eastAsia="宋体" w:cs="Times New Roman"/>
                <w:kern w:val="2"/>
                <w:sz w:val="21"/>
                <w:szCs w:val="24"/>
                <w:lang w:val="en-US" w:eastAsia="zh-CN"/>
              </w:rPr>
              <w:t xml:space="preserve">  </w:t>
            </w:r>
          </w:p>
          <w:p>
            <w:pPr>
              <w:widowControl w:val="0"/>
              <w:spacing w:after="0"/>
              <w:jc w:val="both"/>
              <w:rPr>
                <w:rFonts w:hint="eastAsia" w:ascii="宋体" w:hAnsi="宋体" w:eastAsia="宋体" w:cs="Times New Roman"/>
                <w:kern w:val="2"/>
                <w:sz w:val="21"/>
                <w:szCs w:val="24"/>
                <w:lang w:eastAsia="zh-CN"/>
              </w:rPr>
            </w:pPr>
            <w:r>
              <w:rPr>
                <w:rFonts w:hint="eastAsia" w:ascii="宋体" w:hAnsi="宋体" w:eastAsia="宋体" w:cs="Times New Roman"/>
                <w:kern w:val="2"/>
                <w:sz w:val="21"/>
                <w:szCs w:val="24"/>
                <w:lang w:val="en-US" w:eastAsia="zh-CN"/>
              </w:rPr>
              <w:t xml:space="preserve">  </w:t>
            </w:r>
            <w:r>
              <w:rPr>
                <w:rFonts w:hint="eastAsia" w:ascii="宋体" w:hAnsi="宋体" w:eastAsia="宋体" w:cs="Times New Roman"/>
                <w:color w:val="0000FF"/>
                <w:kern w:val="2"/>
                <w:sz w:val="21"/>
                <w:szCs w:val="24"/>
                <w:lang w:eastAsia="zh-CN"/>
              </w:rPr>
              <w:t>（工期每提前一天得</w:t>
            </w:r>
            <w:r>
              <w:rPr>
                <w:rFonts w:hint="eastAsia" w:ascii="宋体" w:hAnsi="宋体" w:eastAsia="宋体" w:cs="Times New Roman"/>
                <w:color w:val="0000FF"/>
                <w:kern w:val="2"/>
                <w:sz w:val="21"/>
                <w:szCs w:val="24"/>
                <w:lang w:val="en-US" w:eastAsia="zh-CN"/>
              </w:rPr>
              <w:t>0.5分</w:t>
            </w:r>
            <w:r>
              <w:rPr>
                <w:rFonts w:hint="eastAsia" w:ascii="宋体" w:hAnsi="宋体" w:eastAsia="宋体" w:cs="Times New Roman"/>
                <w:color w:val="0000FF"/>
                <w:kern w:val="2"/>
                <w:sz w:val="21"/>
                <w:szCs w:val="24"/>
                <w:lang w:eastAsia="zh-CN"/>
              </w:rPr>
              <w:t>）</w:t>
            </w:r>
          </w:p>
        </w:tc>
      </w:tr>
    </w:tbl>
    <w:p>
      <w:pPr>
        <w:widowControl w:val="0"/>
        <w:spacing w:line="440" w:lineRule="exact"/>
        <w:ind w:firstLine="442" w:firstLineChars="200"/>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备注：综合得分=报价评分+工期评分</w:t>
      </w:r>
    </w:p>
    <w:p>
      <w:pPr>
        <w:widowControl w:val="0"/>
        <w:spacing w:line="440" w:lineRule="exact"/>
        <w:ind w:firstLine="442" w:firstLineChars="200"/>
        <w:rPr>
          <w:rFonts w:hint="default" w:ascii="宋体" w:hAnsi="宋体" w:eastAsia="宋体" w:cs="宋体"/>
          <w:b/>
          <w:sz w:val="22"/>
          <w:szCs w:val="22"/>
          <w:lang w:val="en-US" w:eastAsia="zh-CN"/>
        </w:rPr>
      </w:pPr>
      <w:r>
        <w:rPr>
          <w:rFonts w:hint="eastAsia" w:ascii="宋体" w:hAnsi="宋体" w:eastAsia="宋体" w:cs="宋体"/>
          <w:b/>
          <w:sz w:val="22"/>
          <w:szCs w:val="22"/>
          <w:lang w:val="en-US" w:eastAsia="zh-CN"/>
        </w:rPr>
        <w:t xml:space="preserve"> </w:t>
      </w:r>
    </w:p>
    <w:p>
      <w:pPr>
        <w:widowControl w:val="0"/>
        <w:spacing w:line="440" w:lineRule="exact"/>
        <w:ind w:firstLine="482" w:firstLineChars="200"/>
        <w:rPr>
          <w:rFonts w:ascii="黑体" w:hAnsi="黑体" w:eastAsia="黑体" w:cs="宋体"/>
          <w:b/>
          <w:sz w:val="24"/>
          <w:szCs w:val="24"/>
        </w:rPr>
      </w:pPr>
      <w:r>
        <w:rPr>
          <w:rFonts w:hint="eastAsia" w:ascii="黑体" w:hAnsi="黑体" w:eastAsia="黑体" w:cs="宋体"/>
          <w:b/>
          <w:sz w:val="24"/>
          <w:szCs w:val="24"/>
        </w:rPr>
        <w:t>12.评</w:t>
      </w:r>
      <w:r>
        <w:rPr>
          <w:rFonts w:hint="eastAsia" w:ascii="黑体" w:hAnsi="黑体" w:eastAsia="黑体" w:cs="宋体"/>
          <w:b/>
          <w:color w:val="0000FF"/>
          <w:sz w:val="24"/>
          <w:szCs w:val="24"/>
          <w:lang w:eastAsia="zh-CN"/>
        </w:rPr>
        <w:t>价</w:t>
      </w:r>
      <w:r>
        <w:rPr>
          <w:rFonts w:hint="eastAsia" w:ascii="黑体" w:hAnsi="黑体" w:eastAsia="黑体" w:cs="宋体"/>
          <w:b/>
          <w:sz w:val="24"/>
          <w:szCs w:val="24"/>
        </w:rPr>
        <w:t>日期及地点</w:t>
      </w:r>
    </w:p>
    <w:p>
      <w:pPr>
        <w:pStyle w:val="9"/>
        <w:spacing w:line="440" w:lineRule="exact"/>
        <w:ind w:left="0" w:leftChars="0" w:firstLine="480"/>
        <w:rPr>
          <w:rFonts w:ascii="宋体" w:hAnsi="宋体" w:eastAsia="宋体" w:cs="宋体"/>
          <w:sz w:val="24"/>
          <w:szCs w:val="24"/>
        </w:rPr>
      </w:pPr>
      <w:r>
        <w:rPr>
          <w:rFonts w:hint="eastAsia" w:ascii="宋体" w:hAnsi="宋体" w:eastAsia="宋体" w:cs="宋体"/>
          <w:sz w:val="24"/>
          <w:szCs w:val="24"/>
        </w:rPr>
        <w:t>评价日期：2024年2月28日（星期三）上午</w:t>
      </w:r>
      <w:r>
        <w:rPr>
          <w:rFonts w:hint="eastAsia" w:ascii="宋体" w:hAnsi="宋体" w:eastAsia="宋体" w:cs="宋体"/>
          <w:sz w:val="24"/>
          <w:szCs w:val="24"/>
          <w:lang w:val="en-US" w:eastAsia="zh-CN"/>
        </w:rPr>
        <w:t>10</w:t>
      </w:r>
      <w:r>
        <w:rPr>
          <w:rFonts w:hint="eastAsia" w:ascii="宋体" w:hAnsi="宋体" w:eastAsia="宋体" w:cs="宋体"/>
          <w:sz w:val="24"/>
          <w:szCs w:val="24"/>
        </w:rPr>
        <w:t>:</w:t>
      </w:r>
      <w:r>
        <w:rPr>
          <w:rFonts w:hint="eastAsia" w:ascii="宋体" w:hAnsi="宋体" w:eastAsia="宋体" w:cs="宋体"/>
          <w:sz w:val="24"/>
          <w:szCs w:val="24"/>
          <w:lang w:val="en-US" w:eastAsia="zh-CN"/>
        </w:rPr>
        <w:t>0</w:t>
      </w:r>
      <w:r>
        <w:rPr>
          <w:rFonts w:hint="eastAsia" w:ascii="宋体" w:hAnsi="宋体" w:eastAsia="宋体" w:cs="宋体"/>
          <w:sz w:val="24"/>
          <w:szCs w:val="24"/>
        </w:rPr>
        <w:t>0分</w:t>
      </w:r>
    </w:p>
    <w:p>
      <w:pPr>
        <w:pStyle w:val="9"/>
        <w:spacing w:line="440" w:lineRule="exact"/>
        <w:ind w:left="0" w:leftChars="0" w:firstLine="480"/>
        <w:rPr>
          <w:rFonts w:ascii="宋体" w:hAnsi="宋体" w:eastAsia="宋体" w:cs="宋体"/>
          <w:sz w:val="24"/>
          <w:szCs w:val="24"/>
        </w:rPr>
      </w:pPr>
      <w:r>
        <w:rPr>
          <w:rFonts w:hint="eastAsia" w:ascii="宋体" w:hAnsi="宋体" w:eastAsia="宋体" w:cs="宋体"/>
          <w:sz w:val="24"/>
          <w:szCs w:val="24"/>
        </w:rPr>
        <w:t>评价地点：福州市鼓楼区省府路1号金皇大厦5楼福建省盐业进出口有限公司会议室</w:t>
      </w:r>
    </w:p>
    <w:p>
      <w:pPr>
        <w:widowControl w:val="0"/>
        <w:spacing w:line="440" w:lineRule="exact"/>
        <w:ind w:firstLine="482" w:firstLineChars="200"/>
        <w:rPr>
          <w:rFonts w:ascii="黑体" w:hAnsi="黑体" w:eastAsia="黑体" w:cs="宋体"/>
          <w:b/>
          <w:sz w:val="24"/>
          <w:szCs w:val="24"/>
        </w:rPr>
      </w:pPr>
      <w:r>
        <w:rPr>
          <w:rFonts w:hint="eastAsia" w:ascii="黑体" w:hAnsi="黑体" w:eastAsia="黑体" w:cs="宋体"/>
          <w:b/>
          <w:sz w:val="24"/>
          <w:szCs w:val="24"/>
        </w:rPr>
        <w:t>13.联系方式</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13.1项目现场实地勘察：陈经理  13615039253</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13.2报价单及相关资质材料邮寄：</w:t>
      </w:r>
    </w:p>
    <w:p>
      <w:pPr>
        <w:spacing w:line="440" w:lineRule="exact"/>
        <w:rPr>
          <w:rFonts w:ascii="宋体" w:hAnsi="宋体" w:eastAsia="宋体" w:cs="宋体"/>
          <w:sz w:val="24"/>
          <w:szCs w:val="24"/>
        </w:rPr>
      </w:pPr>
      <w:r>
        <w:rPr>
          <w:rFonts w:hint="eastAsia" w:ascii="宋体" w:hAnsi="宋体" w:eastAsia="宋体" w:cs="宋体"/>
          <w:sz w:val="24"/>
          <w:szCs w:val="24"/>
        </w:rPr>
        <w:t xml:space="preserve">福州市鼓楼区省府路1号金皇大厦5楼福建省盐业进出口有限公司办公室 </w:t>
      </w:r>
    </w:p>
    <w:p>
      <w:pPr>
        <w:spacing w:line="440" w:lineRule="exact"/>
        <w:rPr>
          <w:rFonts w:ascii="宋体" w:hAnsi="宋体" w:eastAsia="宋体" w:cs="宋体"/>
          <w:sz w:val="24"/>
          <w:szCs w:val="24"/>
        </w:rPr>
      </w:pPr>
      <w:r>
        <w:rPr>
          <w:rFonts w:hint="eastAsia" w:ascii="宋体" w:hAnsi="宋体" w:eastAsia="宋体" w:cs="宋体"/>
          <w:sz w:val="24"/>
          <w:szCs w:val="24"/>
        </w:rPr>
        <w:t>黄经理  15260617930</w:t>
      </w:r>
    </w:p>
    <w:p>
      <w:pPr>
        <w:spacing w:line="44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欢迎合格供应商密封文件以邮寄方式或带报价清单及相关资质材料密封文件前来参加报价!</w:t>
      </w:r>
    </w:p>
    <w:p>
      <w:pPr>
        <w:pStyle w:val="9"/>
        <w:ind w:left="440" w:firstLine="482"/>
        <w:rPr>
          <w:rFonts w:ascii="宋体" w:hAnsi="宋体" w:eastAsia="宋体" w:cs="宋体"/>
          <w:b/>
          <w:bCs/>
          <w:sz w:val="24"/>
          <w:szCs w:val="24"/>
        </w:rPr>
      </w:pPr>
    </w:p>
    <w:p>
      <w:pPr>
        <w:pStyle w:val="9"/>
        <w:spacing w:after="0" w:line="480" w:lineRule="exact"/>
        <w:ind w:left="0" w:leftChars="0" w:firstLine="0" w:firstLineChars="0"/>
        <w:rPr>
          <w:rFonts w:ascii="宋体" w:hAnsi="宋体" w:eastAsia="宋体" w:cs="宋体"/>
          <w:sz w:val="24"/>
          <w:szCs w:val="24"/>
        </w:rPr>
      </w:pPr>
      <w:r>
        <w:rPr>
          <w:rFonts w:hint="eastAsia" w:ascii="宋体" w:hAnsi="宋体" w:eastAsia="宋体" w:cs="宋体"/>
          <w:sz w:val="24"/>
          <w:szCs w:val="24"/>
        </w:rPr>
        <w:t>附件一：《报价</w:t>
      </w:r>
      <w:r>
        <w:rPr>
          <w:rFonts w:hint="eastAsia" w:ascii="宋体" w:hAnsi="宋体" w:eastAsia="宋体" w:cs="宋体"/>
          <w:sz w:val="24"/>
          <w:szCs w:val="24"/>
          <w:lang w:val="en-US" w:eastAsia="zh-CN"/>
        </w:rPr>
        <w:t>单</w:t>
      </w:r>
      <w:r>
        <w:rPr>
          <w:rFonts w:hint="eastAsia" w:ascii="宋体" w:hAnsi="宋体" w:eastAsia="宋体" w:cs="宋体"/>
          <w:sz w:val="24"/>
          <w:szCs w:val="24"/>
        </w:rPr>
        <w:t>》</w:t>
      </w:r>
    </w:p>
    <w:p>
      <w:pPr>
        <w:adjustRightInd/>
        <w:snapToGrid/>
        <w:spacing w:after="0" w:line="480" w:lineRule="exact"/>
        <w:rPr>
          <w:rFonts w:hint="eastAsia" w:ascii="宋体" w:hAnsi="宋体" w:eastAsia="宋体" w:cs="宋体"/>
          <w:sz w:val="24"/>
          <w:szCs w:val="24"/>
        </w:rPr>
      </w:pPr>
      <w:r>
        <w:rPr>
          <w:rFonts w:hint="eastAsia" w:ascii="宋体" w:hAnsi="宋体" w:eastAsia="宋体" w:cs="宋体"/>
          <w:sz w:val="24"/>
          <w:szCs w:val="24"/>
        </w:rPr>
        <w:t>附件二：《福盐集团闽侯中盐2号仓修缮改造工程项目费用清单》</w:t>
      </w:r>
    </w:p>
    <w:p>
      <w:pPr>
        <w:widowControl w:val="0"/>
        <w:spacing w:after="0" w:line="480" w:lineRule="exact"/>
        <w:rPr>
          <w:rFonts w:ascii="宋体" w:hAnsi="宋体" w:eastAsia="宋体" w:cs="宋体"/>
          <w:sz w:val="24"/>
          <w:szCs w:val="24"/>
        </w:rPr>
      </w:pPr>
      <w:r>
        <w:rPr>
          <w:rFonts w:hint="eastAsia" w:ascii="宋体" w:hAnsi="宋体" w:eastAsia="宋体" w:cs="宋体"/>
          <w:sz w:val="24"/>
          <w:szCs w:val="24"/>
        </w:rPr>
        <w:t>附件三：《材料品牌明细表》</w:t>
      </w:r>
    </w:p>
    <w:p>
      <w:pPr>
        <w:widowControl w:val="0"/>
        <w:spacing w:after="0" w:line="480" w:lineRule="exact"/>
        <w:rPr>
          <w:rFonts w:ascii="宋体" w:hAnsi="宋体" w:eastAsia="宋体" w:cs="宋体"/>
          <w:sz w:val="24"/>
          <w:szCs w:val="24"/>
        </w:rPr>
      </w:pPr>
      <w:r>
        <w:rPr>
          <w:rFonts w:hint="eastAsia" w:ascii="宋体" w:hAnsi="宋体" w:eastAsia="宋体" w:cs="宋体"/>
          <w:sz w:val="24"/>
          <w:szCs w:val="24"/>
        </w:rPr>
        <w:t>附件四：《福盐集团闽侯中盐福建2号仓修缮改造合同》</w:t>
      </w: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spacing w:after="0"/>
        <w:ind w:left="0" w:leftChars="0" w:firstLine="0" w:firstLineChars="0"/>
        <w:rPr>
          <w:rFonts w:hint="eastAsia" w:ascii="宋体" w:hAnsi="宋体" w:eastAsia="宋体" w:cs="宋体"/>
          <w:b/>
          <w:bCs/>
          <w:sz w:val="24"/>
          <w:szCs w:val="24"/>
        </w:rPr>
      </w:pPr>
    </w:p>
    <w:p>
      <w:pPr>
        <w:pStyle w:val="9"/>
        <w:spacing w:after="0"/>
        <w:ind w:left="0" w:leftChars="0" w:firstLine="0" w:firstLineChars="0"/>
        <w:rPr>
          <w:rFonts w:hint="eastAsia" w:ascii="宋体" w:hAnsi="宋体" w:eastAsia="宋体" w:cs="宋体"/>
          <w:b/>
          <w:bCs/>
          <w:sz w:val="24"/>
          <w:szCs w:val="24"/>
        </w:rPr>
      </w:pPr>
    </w:p>
    <w:p>
      <w:pPr>
        <w:pStyle w:val="9"/>
        <w:spacing w:after="0"/>
        <w:ind w:left="0" w:leftChars="0" w:firstLine="0" w:firstLineChars="0"/>
        <w:rPr>
          <w:rFonts w:ascii="宋体" w:hAnsi="宋体" w:eastAsia="宋体" w:cs="宋体"/>
          <w:b/>
          <w:bCs/>
        </w:rPr>
      </w:pPr>
      <w:r>
        <w:rPr>
          <w:rFonts w:hint="eastAsia" w:ascii="宋体" w:hAnsi="宋体" w:eastAsia="宋体" w:cs="宋体"/>
          <w:b/>
          <w:bCs/>
          <w:sz w:val="24"/>
          <w:szCs w:val="24"/>
        </w:rPr>
        <w:t>附件一：</w:t>
      </w:r>
    </w:p>
    <w:p>
      <w:pPr>
        <w:pStyle w:val="3"/>
        <w:spacing w:before="120" w:after="0" w:line="360" w:lineRule="auto"/>
        <w:jc w:val="center"/>
        <w:rPr>
          <w:rFonts w:hint="eastAsia" w:ascii="微软雅黑" w:hAnsi="微软雅黑" w:eastAsia="微软雅黑" w:cs="宋体"/>
          <w:sz w:val="44"/>
          <w:szCs w:val="44"/>
          <w:lang w:val="en-US" w:eastAsia="zh-CN"/>
        </w:rPr>
      </w:pPr>
      <w:r>
        <w:rPr>
          <w:rFonts w:hint="eastAsia" w:ascii="微软雅黑" w:hAnsi="微软雅黑" w:eastAsia="微软雅黑" w:cs="宋体"/>
          <w:sz w:val="44"/>
          <w:szCs w:val="44"/>
        </w:rPr>
        <w:t xml:space="preserve">报 价 </w:t>
      </w:r>
      <w:r>
        <w:rPr>
          <w:rFonts w:hint="eastAsia" w:ascii="微软雅黑" w:hAnsi="微软雅黑" w:eastAsia="微软雅黑" w:cs="宋体"/>
          <w:sz w:val="44"/>
          <w:szCs w:val="44"/>
          <w:lang w:val="en-US" w:eastAsia="zh-CN"/>
        </w:rPr>
        <w:t>单</w:t>
      </w:r>
    </w:p>
    <w:tbl>
      <w:tblPr>
        <w:tblStyle w:val="1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493"/>
        <w:gridCol w:w="2835"/>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76" w:type="dxa"/>
            <w:vAlign w:val="center"/>
          </w:tcPr>
          <w:p>
            <w:pPr>
              <w:spacing w:after="0"/>
              <w:jc w:val="center"/>
              <w:textAlignment w:val="center"/>
              <w:rPr>
                <w:rFonts w:hint="eastAsia" w:ascii="宋体" w:hAnsi="宋体" w:cs="宋体"/>
                <w:b/>
                <w:bCs/>
                <w:sz w:val="24"/>
              </w:rPr>
            </w:pPr>
            <w:r>
              <w:rPr>
                <w:rFonts w:hint="eastAsia" w:ascii="宋体" w:hAnsi="宋体" w:cs="宋体"/>
                <w:b/>
                <w:bCs/>
                <w:sz w:val="24"/>
              </w:rPr>
              <w:t>序号</w:t>
            </w:r>
          </w:p>
        </w:tc>
        <w:tc>
          <w:tcPr>
            <w:tcW w:w="2493" w:type="dxa"/>
            <w:vAlign w:val="center"/>
          </w:tcPr>
          <w:p>
            <w:pPr>
              <w:spacing w:after="0"/>
              <w:jc w:val="center"/>
              <w:textAlignment w:val="center"/>
              <w:rPr>
                <w:rFonts w:ascii="宋体" w:hAnsi="宋体" w:cs="宋体"/>
                <w:b/>
                <w:bCs/>
                <w:sz w:val="24"/>
              </w:rPr>
            </w:pPr>
            <w:r>
              <w:rPr>
                <w:rFonts w:hint="eastAsia" w:ascii="宋体" w:hAnsi="宋体" w:cs="宋体"/>
                <w:b/>
                <w:bCs/>
                <w:sz w:val="24"/>
              </w:rPr>
              <w:t>项目</w:t>
            </w:r>
          </w:p>
        </w:tc>
        <w:tc>
          <w:tcPr>
            <w:tcW w:w="2835" w:type="dxa"/>
            <w:vAlign w:val="center"/>
          </w:tcPr>
          <w:p>
            <w:pPr>
              <w:spacing w:after="0"/>
              <w:jc w:val="center"/>
              <w:textAlignment w:val="center"/>
              <w:rPr>
                <w:rFonts w:ascii="宋体" w:hAnsi="宋体" w:cs="宋体"/>
                <w:b/>
                <w:bCs/>
                <w:sz w:val="24"/>
              </w:rPr>
            </w:pPr>
            <w:r>
              <w:rPr>
                <w:rFonts w:hint="eastAsia" w:ascii="宋体" w:hAnsi="宋体" w:cs="宋体"/>
                <w:b/>
                <w:bCs/>
                <w:sz w:val="24"/>
              </w:rPr>
              <w:t>金额 (万元）</w:t>
            </w:r>
          </w:p>
        </w:tc>
        <w:tc>
          <w:tcPr>
            <w:tcW w:w="2551" w:type="dxa"/>
            <w:vAlign w:val="center"/>
          </w:tcPr>
          <w:p>
            <w:pPr>
              <w:spacing w:after="0"/>
              <w:jc w:val="center"/>
              <w:textAlignment w:val="center"/>
              <w:rPr>
                <w:rFonts w:hint="eastAsia" w:ascii="宋体" w:hAnsi="宋体" w:cs="宋体"/>
                <w:b/>
                <w:bCs/>
                <w:sz w:val="24"/>
              </w:rPr>
            </w:pPr>
            <w:r>
              <w:rPr>
                <w:rFonts w:hint="eastAsia" w:ascii="宋体" w:hAnsi="宋体" w:cs="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76" w:type="dxa"/>
            <w:vAlign w:val="center"/>
          </w:tcPr>
          <w:p>
            <w:pPr>
              <w:spacing w:after="0"/>
              <w:jc w:val="center"/>
              <w:textAlignment w:val="center"/>
              <w:rPr>
                <w:rFonts w:hint="eastAsia" w:ascii="微软雅黑" w:hAnsi="微软雅黑" w:cs="宋体"/>
                <w:sz w:val="28"/>
                <w:szCs w:val="28"/>
              </w:rPr>
            </w:pPr>
            <w:r>
              <w:rPr>
                <w:rFonts w:hint="eastAsia" w:ascii="微软雅黑" w:hAnsi="微软雅黑" w:cs="宋体"/>
                <w:sz w:val="28"/>
                <w:szCs w:val="28"/>
              </w:rPr>
              <w:t>1</w:t>
            </w:r>
          </w:p>
        </w:tc>
        <w:tc>
          <w:tcPr>
            <w:tcW w:w="2493" w:type="dxa"/>
            <w:vAlign w:val="center"/>
          </w:tcPr>
          <w:p>
            <w:pPr>
              <w:spacing w:after="0"/>
              <w:textAlignment w:val="center"/>
              <w:rPr>
                <w:rFonts w:ascii="微软雅黑" w:hAnsi="微软雅黑" w:cs="宋体"/>
                <w:sz w:val="28"/>
                <w:szCs w:val="28"/>
              </w:rPr>
            </w:pPr>
            <w:r>
              <w:rPr>
                <w:rFonts w:hint="eastAsia" w:ascii="微软雅黑" w:hAnsi="微软雅黑" w:cs="宋体"/>
                <w:sz w:val="28"/>
                <w:szCs w:val="28"/>
              </w:rPr>
              <w:t>工程总承包报价</w:t>
            </w:r>
          </w:p>
        </w:tc>
        <w:tc>
          <w:tcPr>
            <w:tcW w:w="2835" w:type="dxa"/>
            <w:vAlign w:val="center"/>
          </w:tcPr>
          <w:p>
            <w:pPr>
              <w:spacing w:after="0"/>
              <w:textAlignment w:val="center"/>
              <w:rPr>
                <w:rFonts w:ascii="宋体" w:hAnsi="宋体" w:cs="宋体"/>
                <w:sz w:val="24"/>
              </w:rPr>
            </w:pPr>
          </w:p>
        </w:tc>
        <w:tc>
          <w:tcPr>
            <w:tcW w:w="2551" w:type="dxa"/>
            <w:vAlign w:val="center"/>
          </w:tcPr>
          <w:p>
            <w:pPr>
              <w:spacing w:after="0"/>
              <w:textAlignment w:val="center"/>
              <w:rPr>
                <w:rFonts w:ascii="宋体" w:hAnsi="宋体" w:cs="宋体"/>
                <w:sz w:val="24"/>
              </w:rPr>
            </w:pPr>
            <w:r>
              <w:rPr>
                <w:rFonts w:hint="eastAsia" w:ascii="宋体" w:hAnsi="宋体" w:cs="宋体"/>
                <w:sz w:val="24"/>
              </w:rPr>
              <w:t>报价表应附费用组成清单（附件二），清单项目总价应与报价一致。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876" w:type="dxa"/>
            <w:vAlign w:val="center"/>
          </w:tcPr>
          <w:p>
            <w:pPr>
              <w:spacing w:after="0"/>
              <w:jc w:val="center"/>
              <w:textAlignment w:val="center"/>
              <w:rPr>
                <w:rFonts w:hint="eastAsia" w:ascii="微软雅黑" w:hAnsi="微软雅黑" w:cs="宋体"/>
                <w:sz w:val="28"/>
                <w:szCs w:val="28"/>
              </w:rPr>
            </w:pPr>
            <w:r>
              <w:rPr>
                <w:rFonts w:hint="eastAsia" w:ascii="微软雅黑" w:hAnsi="微软雅黑" w:cs="宋体"/>
                <w:sz w:val="28"/>
                <w:szCs w:val="28"/>
              </w:rPr>
              <w:t>2</w:t>
            </w:r>
          </w:p>
        </w:tc>
        <w:tc>
          <w:tcPr>
            <w:tcW w:w="2493" w:type="dxa"/>
            <w:vAlign w:val="center"/>
          </w:tcPr>
          <w:p>
            <w:pPr>
              <w:spacing w:after="0"/>
              <w:textAlignment w:val="center"/>
              <w:rPr>
                <w:rFonts w:hint="default" w:ascii="微软雅黑" w:hAnsi="微软雅黑" w:eastAsia="微软雅黑" w:cs="宋体"/>
                <w:sz w:val="28"/>
                <w:szCs w:val="28"/>
                <w:lang w:val="en-US" w:eastAsia="zh-CN"/>
              </w:rPr>
            </w:pPr>
            <w:r>
              <w:rPr>
                <w:rFonts w:hint="eastAsia" w:ascii="微软雅黑" w:hAnsi="微软雅黑"/>
                <w:sz w:val="28"/>
                <w:szCs w:val="28"/>
                <w:lang w:eastAsia="zh-CN"/>
              </w:rPr>
              <w:t>承诺</w:t>
            </w:r>
            <w:r>
              <w:rPr>
                <w:rFonts w:hint="eastAsia" w:ascii="微软雅黑" w:hAnsi="微软雅黑"/>
                <w:sz w:val="28"/>
                <w:szCs w:val="28"/>
              </w:rPr>
              <w:t>工程工期</w:t>
            </w:r>
            <w:r>
              <w:rPr>
                <w:rFonts w:hint="eastAsia" w:ascii="微软雅黑" w:hAnsi="微软雅黑"/>
                <w:sz w:val="28"/>
                <w:szCs w:val="28"/>
                <w:lang w:val="en-US" w:eastAsia="zh-CN"/>
              </w:rPr>
              <w:t xml:space="preserve">  （天）</w:t>
            </w:r>
          </w:p>
        </w:tc>
        <w:tc>
          <w:tcPr>
            <w:tcW w:w="2835" w:type="dxa"/>
            <w:vAlign w:val="center"/>
          </w:tcPr>
          <w:p>
            <w:pPr>
              <w:spacing w:after="0"/>
              <w:textAlignment w:val="center"/>
              <w:rPr>
                <w:rFonts w:ascii="宋体" w:hAnsi="宋体" w:cs="宋体"/>
                <w:sz w:val="24"/>
              </w:rPr>
            </w:pPr>
          </w:p>
        </w:tc>
        <w:tc>
          <w:tcPr>
            <w:tcW w:w="2551" w:type="dxa"/>
            <w:vAlign w:val="center"/>
          </w:tcPr>
          <w:p>
            <w:pPr>
              <w:spacing w:after="0"/>
              <w:textAlignment w:val="center"/>
              <w:rPr>
                <w:rFonts w:hint="default" w:ascii="宋体" w:hAnsi="宋体" w:eastAsia="微软雅黑" w:cs="宋体"/>
                <w:sz w:val="24"/>
                <w:lang w:val="en-US" w:eastAsia="zh-CN"/>
              </w:rPr>
            </w:pPr>
            <w:r>
              <w:rPr>
                <w:rFonts w:hint="eastAsia" w:ascii="宋体" w:hAnsi="宋体" w:cs="宋体"/>
                <w:color w:val="0000FF"/>
                <w:sz w:val="24"/>
                <w:lang w:eastAsia="zh-CN"/>
              </w:rPr>
              <w:t>若实际工期每超过承诺工期一天，将扣罚</w:t>
            </w:r>
            <w:r>
              <w:rPr>
                <w:rFonts w:hint="eastAsia" w:ascii="宋体" w:hAnsi="宋体" w:cs="宋体"/>
                <w:color w:val="0000FF"/>
                <w:sz w:val="24"/>
                <w:lang w:val="en-US" w:eastAsia="zh-CN"/>
              </w:rPr>
              <w:t>1万元人民币。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4" w:hRule="atLeast"/>
        </w:trPr>
        <w:tc>
          <w:tcPr>
            <w:tcW w:w="876" w:type="dxa"/>
            <w:vAlign w:val="center"/>
          </w:tcPr>
          <w:p>
            <w:pPr>
              <w:spacing w:after="0"/>
              <w:jc w:val="center"/>
              <w:textAlignment w:val="center"/>
              <w:rPr>
                <w:rFonts w:hint="eastAsia" w:ascii="微软雅黑" w:hAnsi="微软雅黑" w:cs="宋体"/>
                <w:sz w:val="28"/>
                <w:szCs w:val="28"/>
              </w:rPr>
            </w:pPr>
            <w:r>
              <w:rPr>
                <w:rFonts w:hint="eastAsia" w:ascii="微软雅黑" w:hAnsi="微软雅黑" w:cs="宋体"/>
                <w:sz w:val="28"/>
                <w:szCs w:val="28"/>
              </w:rPr>
              <w:t>3</w:t>
            </w:r>
          </w:p>
        </w:tc>
        <w:tc>
          <w:tcPr>
            <w:tcW w:w="7879" w:type="dxa"/>
            <w:gridSpan w:val="3"/>
            <w:vAlign w:val="center"/>
          </w:tcPr>
          <w:p>
            <w:pPr>
              <w:spacing w:after="0"/>
              <w:textAlignment w:val="center"/>
              <w:rPr>
                <w:rFonts w:ascii="宋体" w:hAnsi="宋体" w:cs="宋体"/>
                <w:sz w:val="24"/>
              </w:rPr>
            </w:pPr>
            <w:r>
              <w:rPr>
                <w:rFonts w:hint="eastAsia" w:ascii="微软雅黑" w:hAnsi="微软雅黑" w:cs="宋体"/>
                <w:bCs/>
                <w:sz w:val="28"/>
                <w:szCs w:val="28"/>
              </w:rPr>
              <w:t>其他说明：</w:t>
            </w:r>
          </w:p>
        </w:tc>
      </w:tr>
    </w:tbl>
    <w:p>
      <w:pPr>
        <w:spacing w:after="150" w:line="460" w:lineRule="exact"/>
        <w:rPr>
          <w:rFonts w:ascii="宋体" w:hAnsi="宋体" w:cs="宋体"/>
          <w:sz w:val="24"/>
        </w:rPr>
      </w:pPr>
    </w:p>
    <w:p>
      <w:pPr>
        <w:spacing w:after="150" w:line="460" w:lineRule="exact"/>
        <w:rPr>
          <w:rFonts w:ascii="宋体" w:hAnsi="宋体" w:cs="宋体"/>
          <w:sz w:val="24"/>
        </w:rPr>
      </w:pPr>
    </w:p>
    <w:p>
      <w:pPr>
        <w:spacing w:after="150" w:line="880" w:lineRule="exact"/>
        <w:rPr>
          <w:rFonts w:ascii="宋体" w:hAnsi="宋体" w:cs="宋体"/>
          <w:sz w:val="32"/>
          <w:szCs w:val="32"/>
        </w:rPr>
      </w:pPr>
      <w:r>
        <w:rPr>
          <w:rFonts w:hint="eastAsia" w:ascii="宋体" w:hAnsi="宋体" w:cs="宋体"/>
          <w:sz w:val="32"/>
          <w:szCs w:val="32"/>
        </w:rPr>
        <w:t>报价人：</w:t>
      </w:r>
      <w:r>
        <w:rPr>
          <w:rFonts w:hint="eastAsia" w:ascii="宋体" w:hAnsi="宋体" w:cs="宋体"/>
          <w:sz w:val="32"/>
          <w:szCs w:val="32"/>
          <w:u w:val="single"/>
        </w:rPr>
        <w:t>（全称并加盖单位公章）</w:t>
      </w:r>
    </w:p>
    <w:p>
      <w:pPr>
        <w:spacing w:after="150" w:line="880" w:lineRule="exact"/>
        <w:rPr>
          <w:rFonts w:ascii="宋体" w:hAnsi="宋体" w:eastAsia="宋体" w:cs="宋体"/>
          <w:b/>
          <w:bCs/>
          <w:sz w:val="32"/>
          <w:szCs w:val="32"/>
        </w:rPr>
      </w:pPr>
      <w:r>
        <w:rPr>
          <w:rFonts w:hint="eastAsia" w:ascii="宋体" w:hAnsi="宋体" w:cs="宋体"/>
          <w:sz w:val="32"/>
          <w:szCs w:val="32"/>
        </w:rPr>
        <w:t>日期：</w:t>
      </w:r>
      <w:r>
        <w:rPr>
          <w:rFonts w:hint="eastAsia" w:ascii="宋体" w:hAnsi="宋体" w:cs="宋体"/>
          <w:sz w:val="32"/>
          <w:szCs w:val="32"/>
          <w:u w:val="single"/>
        </w:rPr>
        <w:t>    </w:t>
      </w:r>
      <w:r>
        <w:rPr>
          <w:rFonts w:hint="eastAsia" w:ascii="宋体" w:hAnsi="宋体" w:cs="宋体"/>
          <w:sz w:val="32"/>
          <w:szCs w:val="32"/>
        </w:rPr>
        <w:t>年</w:t>
      </w:r>
      <w:r>
        <w:rPr>
          <w:rFonts w:hint="eastAsia" w:ascii="宋体" w:hAnsi="宋体" w:cs="宋体"/>
          <w:sz w:val="32"/>
          <w:szCs w:val="32"/>
          <w:u w:val="single"/>
        </w:rPr>
        <w:t>   </w:t>
      </w:r>
      <w:r>
        <w:rPr>
          <w:rFonts w:hint="eastAsia" w:ascii="宋体" w:hAnsi="宋体" w:cs="宋体"/>
          <w:sz w:val="32"/>
          <w:szCs w:val="32"/>
        </w:rPr>
        <w:t>月</w:t>
      </w:r>
      <w:r>
        <w:rPr>
          <w:rFonts w:hint="eastAsia" w:ascii="宋体" w:hAnsi="宋体" w:cs="宋体"/>
          <w:sz w:val="32"/>
          <w:szCs w:val="32"/>
          <w:u w:val="single"/>
        </w:rPr>
        <w:t>   </w:t>
      </w:r>
    </w:p>
    <w:p>
      <w:pPr>
        <w:pStyle w:val="9"/>
        <w:ind w:left="440" w:firstLine="482"/>
        <w:rPr>
          <w:rFonts w:hint="eastAsia"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440" w:firstLine="482"/>
        <w:rPr>
          <w:rFonts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附件二：</w:t>
      </w:r>
    </w:p>
    <w:p>
      <w:pPr>
        <w:pStyle w:val="9"/>
        <w:ind w:left="0" w:leftChars="0" w:firstLine="0" w:firstLineChars="0"/>
        <w:rPr>
          <w:rFonts w:hint="eastAsia" w:ascii="宋体" w:hAnsi="宋体" w:eastAsia="宋体" w:cs="宋体"/>
          <w:b/>
          <w:bCs/>
          <w:sz w:val="24"/>
          <w:szCs w:val="24"/>
        </w:rPr>
      </w:pPr>
    </w:p>
    <w:p>
      <w:pPr>
        <w:adjustRightInd/>
        <w:snapToGrid/>
        <w:spacing w:after="0"/>
        <w:jc w:val="center"/>
        <w:rPr>
          <w:rFonts w:hint="eastAsia" w:ascii="宋体" w:hAnsi="宋体" w:eastAsia="宋体" w:cs="宋体"/>
          <w:sz w:val="32"/>
          <w:szCs w:val="32"/>
        </w:rPr>
      </w:pPr>
      <w:r>
        <w:rPr>
          <w:rFonts w:hint="eastAsia" w:ascii="黑体" w:hAnsi="黑体" w:eastAsia="黑体" w:cs="黑体"/>
          <w:sz w:val="32"/>
          <w:szCs w:val="32"/>
        </w:rPr>
        <w:t>福盐集团闽侯中盐2号仓修缮改造工程项目费用清单</w:t>
      </w:r>
    </w:p>
    <w:p>
      <w:pPr>
        <w:pStyle w:val="2"/>
        <w:spacing w:before="0" w:after="0" w:line="240" w:lineRule="auto"/>
        <w:rPr>
          <w:rFonts w:hint="eastAsia"/>
          <w:sz w:val="24"/>
          <w:szCs w:val="24"/>
        </w:rPr>
      </w:pPr>
    </w:p>
    <w:tbl>
      <w:tblPr>
        <w:tblStyle w:val="10"/>
        <w:tblW w:w="9080" w:type="dxa"/>
        <w:tblInd w:w="100" w:type="dxa"/>
        <w:tblLayout w:type="fixed"/>
        <w:tblCellMar>
          <w:top w:w="0" w:type="dxa"/>
          <w:left w:w="108" w:type="dxa"/>
          <w:bottom w:w="0" w:type="dxa"/>
          <w:right w:w="108" w:type="dxa"/>
        </w:tblCellMar>
      </w:tblPr>
      <w:tblGrid>
        <w:gridCol w:w="1215"/>
        <w:gridCol w:w="636"/>
        <w:gridCol w:w="145"/>
        <w:gridCol w:w="3257"/>
        <w:gridCol w:w="851"/>
        <w:gridCol w:w="708"/>
        <w:gridCol w:w="851"/>
        <w:gridCol w:w="1417"/>
      </w:tblGrid>
      <w:tr>
        <w:tblPrEx>
          <w:tblLayout w:type="fixed"/>
          <w:tblCellMar>
            <w:top w:w="0" w:type="dxa"/>
            <w:left w:w="108" w:type="dxa"/>
            <w:bottom w:w="0" w:type="dxa"/>
            <w:right w:w="108" w:type="dxa"/>
          </w:tblCellMar>
        </w:tblPrEx>
        <w:trPr>
          <w:trHeight w:val="397" w:hRule="atLeast"/>
        </w:trPr>
        <w:tc>
          <w:tcPr>
            <w:tcW w:w="1215" w:type="dxa"/>
            <w:tcBorders>
              <w:top w:val="single" w:color="auto" w:sz="4" w:space="0"/>
              <w:left w:val="single" w:color="auto" w:sz="4" w:space="0"/>
              <w:bottom w:val="single" w:color="auto" w:sz="4" w:space="0"/>
              <w:right w:val="single" w:color="000000"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类别</w:t>
            </w:r>
          </w:p>
        </w:tc>
        <w:tc>
          <w:tcPr>
            <w:tcW w:w="636" w:type="dxa"/>
            <w:tcBorders>
              <w:top w:val="nil"/>
              <w:left w:val="nil"/>
              <w:bottom w:val="single" w:color="auto" w:sz="4" w:space="0"/>
              <w:right w:val="single" w:color="auto"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序号</w:t>
            </w:r>
          </w:p>
        </w:tc>
        <w:tc>
          <w:tcPr>
            <w:tcW w:w="3402" w:type="dxa"/>
            <w:gridSpan w:val="2"/>
            <w:tcBorders>
              <w:top w:val="nil"/>
              <w:left w:val="nil"/>
              <w:bottom w:val="single" w:color="auto" w:sz="4" w:space="0"/>
              <w:right w:val="single" w:color="auto"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项目名称</w:t>
            </w:r>
          </w:p>
        </w:tc>
        <w:tc>
          <w:tcPr>
            <w:tcW w:w="851" w:type="dxa"/>
            <w:tcBorders>
              <w:top w:val="nil"/>
              <w:left w:val="nil"/>
              <w:bottom w:val="single" w:color="auto" w:sz="4" w:space="0"/>
              <w:right w:val="single" w:color="auto"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单位</w:t>
            </w:r>
          </w:p>
        </w:tc>
        <w:tc>
          <w:tcPr>
            <w:tcW w:w="708" w:type="dxa"/>
            <w:tcBorders>
              <w:top w:val="nil"/>
              <w:left w:val="nil"/>
              <w:bottom w:val="single" w:color="auto" w:sz="4" w:space="0"/>
              <w:right w:val="single" w:color="auto"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数量</w:t>
            </w:r>
          </w:p>
        </w:tc>
        <w:tc>
          <w:tcPr>
            <w:tcW w:w="851" w:type="dxa"/>
            <w:tcBorders>
              <w:top w:val="nil"/>
              <w:left w:val="nil"/>
              <w:bottom w:val="single" w:color="auto" w:sz="4" w:space="0"/>
              <w:right w:val="single" w:color="auto"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单价</w:t>
            </w:r>
          </w:p>
        </w:tc>
        <w:tc>
          <w:tcPr>
            <w:tcW w:w="1417" w:type="dxa"/>
            <w:tcBorders>
              <w:top w:val="nil"/>
              <w:left w:val="nil"/>
              <w:bottom w:val="single" w:color="auto" w:sz="4" w:space="0"/>
              <w:right w:val="single" w:color="auto" w:sz="4" w:space="0"/>
            </w:tcBorders>
            <w:shd w:val="clear" w:color="000000" w:fill="00B05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金额</w:t>
            </w: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一、基础修缮</w:t>
            </w: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原铁门打磨、除锈，重新喷漆（双面）</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402" w:type="dxa"/>
            <w:gridSpan w:val="2"/>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入口斜坡拆打、新做</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5</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3</w:t>
            </w:r>
          </w:p>
        </w:tc>
        <w:tc>
          <w:tcPr>
            <w:tcW w:w="3402" w:type="dxa"/>
            <w:gridSpan w:val="2"/>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挡鼠板修复</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4</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部分顶面漏水处理</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5</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东侧墙面防水涂料处理</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430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6</w:t>
            </w:r>
          </w:p>
        </w:tc>
        <w:tc>
          <w:tcPr>
            <w:tcW w:w="3402" w:type="dxa"/>
            <w:gridSpan w:val="2"/>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室内墙角裂缝清理、修补</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224</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7</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进出口仓铝合金卷帘门4000*4000mm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8</w:t>
            </w:r>
          </w:p>
        </w:tc>
        <w:tc>
          <w:tcPr>
            <w:tcW w:w="3402" w:type="dxa"/>
            <w:gridSpan w:val="2"/>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卷帘门电机</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9</w:t>
            </w:r>
          </w:p>
        </w:tc>
        <w:tc>
          <w:tcPr>
            <w:tcW w:w="3402" w:type="dxa"/>
            <w:gridSpan w:val="2"/>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门边框缝隙封堵</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10</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地坪漆地面缝修补（拆打、修复）</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11</w:t>
            </w:r>
          </w:p>
        </w:tc>
        <w:tc>
          <w:tcPr>
            <w:tcW w:w="3402" w:type="dxa"/>
            <w:gridSpan w:val="2"/>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地面标识线</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12</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墙、柱面乳胶漆修复（空鼓、起皮铲除重新）</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13</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窗户玻璃更换</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14</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窗户玻璃防晒贴纸</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250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15</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窗户边框打胶密封</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500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636"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16</w:t>
            </w:r>
          </w:p>
        </w:tc>
        <w:tc>
          <w:tcPr>
            <w:tcW w:w="3402" w:type="dxa"/>
            <w:gridSpan w:val="2"/>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仓库周边环境卫生清理</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二、仓库隔墙</w:t>
            </w: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西侧原墙上方墙体补到顶</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40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仓库双面彩钢夹芯板隔墙(中顶高9.5m)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900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rPr>
                <w:rFonts w:ascii="宋体" w:hAnsi="宋体" w:eastAsia="宋体" w:cs="宋体"/>
                <w:b/>
                <w:bCs/>
              </w:rPr>
            </w:pPr>
            <w:r>
              <w:rPr>
                <w:rFonts w:hint="eastAsia" w:ascii="宋体" w:hAnsi="宋体" w:eastAsia="宋体" w:cs="宋体"/>
                <w:b/>
                <w:bCs/>
              </w:rPr>
              <w:t>三、集团仓库办公及打包发货室</w:t>
            </w: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办公室彩钢板双开门1800*2100mm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2</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休息室彩钢板单开门1000*2100mm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3</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电商打包区隐形门1000*2100mm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4</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电商打包区隐形门1800*2100mm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5</w:t>
            </w:r>
          </w:p>
        </w:tc>
        <w:tc>
          <w:tcPr>
            <w:tcW w:w="3257" w:type="dxa"/>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600*600mm铝扣板吊顶</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180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6</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吊顶钢架转换层</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180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7</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办公室地面瓷砖</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180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8</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集团办公区双面彩钢夹芯板隔墙及玻璃窗</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180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9</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管理费、税费</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　</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　</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四、闽盐食品办公室</w:t>
            </w: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办公区双面彩钢夹芯板隔墙及玻璃窗</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110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门1800*2100mm</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樘</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2</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3</w:t>
            </w:r>
          </w:p>
        </w:tc>
        <w:tc>
          <w:tcPr>
            <w:tcW w:w="3257" w:type="dxa"/>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600*600mm铝扣板吊顶</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4</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吊顶钢架转换层</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5</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办公室地面瓷砖</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6</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管理费、税费</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　</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　</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五、电路照明系统</w:t>
            </w: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强、弱电管、线预埋（含监控）</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m²</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3260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配电箱利旧修改，更换元器件</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3</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排气扇（墙排式）及通气口纱窗安装</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台</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4</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应急灯、安全出口</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12</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5</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入口照明灯具</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6</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室内LED照明灯具400W工矿灯</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盏</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36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7</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LED 600*600mm平板灯</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盏</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30</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8</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开关、插座</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55</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9</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灭蝇灯</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6</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六、监控系统</w:t>
            </w: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监控探头，400W像素全彩</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个</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19</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8T专用硬盘、录像机36路4盘位、交换机、机柜等（2个月）</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3</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4T专用硬盘、录像机36路4盘位、交换机、机柜等（2个月）</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4</w:t>
            </w:r>
          </w:p>
        </w:tc>
        <w:tc>
          <w:tcPr>
            <w:tcW w:w="3257" w:type="dxa"/>
            <w:tcBorders>
              <w:top w:val="nil"/>
              <w:left w:val="nil"/>
              <w:bottom w:val="single" w:color="auto" w:sz="4" w:space="0"/>
              <w:right w:val="single" w:color="auto" w:sz="4" w:space="0"/>
            </w:tcBorders>
            <w:shd w:val="clear" w:color="auto" w:fill="auto"/>
            <w:vAlign w:val="center"/>
          </w:tcPr>
          <w:p>
            <w:pPr>
              <w:adjustRightInd/>
              <w:snapToGrid/>
              <w:spacing w:after="0"/>
              <w:rPr>
                <w:rFonts w:ascii="宋体" w:hAnsi="宋体" w:eastAsia="宋体" w:cs="宋体"/>
              </w:rPr>
            </w:pPr>
            <w:r>
              <w:rPr>
                <w:rFonts w:hint="eastAsia" w:ascii="宋体" w:hAnsi="宋体" w:eastAsia="宋体" w:cs="宋体"/>
              </w:rPr>
              <w:t>监控安装、调试</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七、其他辅助项目</w:t>
            </w: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1</w:t>
            </w:r>
          </w:p>
        </w:tc>
        <w:tc>
          <w:tcPr>
            <w:tcW w:w="3257" w:type="dxa"/>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脚手架（含高空作业）</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2</w:t>
            </w:r>
          </w:p>
        </w:tc>
        <w:tc>
          <w:tcPr>
            <w:tcW w:w="3257" w:type="dxa"/>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隔层材料搬运费</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3</w:t>
            </w:r>
          </w:p>
        </w:tc>
        <w:tc>
          <w:tcPr>
            <w:tcW w:w="3257" w:type="dxa"/>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施工中垃圾清理</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项</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1</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781" w:type="dxa"/>
            <w:gridSpan w:val="2"/>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b/>
                <w:bCs/>
              </w:rPr>
            </w:pPr>
            <w:r>
              <w:rPr>
                <w:rFonts w:hint="eastAsia" w:ascii="宋体" w:hAnsi="宋体" w:eastAsia="宋体" w:cs="宋体"/>
                <w:b/>
                <w:bCs/>
              </w:rPr>
              <w:t>4</w:t>
            </w:r>
          </w:p>
        </w:tc>
        <w:tc>
          <w:tcPr>
            <w:tcW w:w="3257" w:type="dxa"/>
            <w:tcBorders>
              <w:top w:val="nil"/>
              <w:left w:val="nil"/>
              <w:bottom w:val="single" w:color="auto" w:sz="4" w:space="0"/>
              <w:right w:val="single" w:color="auto" w:sz="4" w:space="0"/>
            </w:tcBorders>
            <w:shd w:val="clear" w:color="auto" w:fill="auto"/>
            <w:noWrap/>
            <w:vAlign w:val="center"/>
          </w:tcPr>
          <w:p>
            <w:pPr>
              <w:adjustRightInd/>
              <w:snapToGrid/>
              <w:spacing w:after="0"/>
              <w:rPr>
                <w:rFonts w:ascii="宋体" w:hAnsi="宋体" w:eastAsia="宋体" w:cs="宋体"/>
              </w:rPr>
            </w:pPr>
            <w:r>
              <w:rPr>
                <w:rFonts w:hint="eastAsia" w:ascii="宋体" w:hAnsi="宋体" w:eastAsia="宋体" w:cs="宋体"/>
              </w:rPr>
              <w:t>税金、管理费</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w:t>
            </w:r>
          </w:p>
        </w:tc>
        <w:tc>
          <w:tcPr>
            <w:tcW w:w="708"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r>
              <w:rPr>
                <w:rFonts w:hint="eastAsia" w:ascii="宋体" w:hAnsi="宋体" w:eastAsia="宋体" w:cs="宋体"/>
              </w:rPr>
              <w:t>　</w:t>
            </w:r>
          </w:p>
        </w:tc>
        <w:tc>
          <w:tcPr>
            <w:tcW w:w="851"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c>
          <w:tcPr>
            <w:tcW w:w="1417"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rPr>
            </w:pPr>
          </w:p>
        </w:tc>
      </w:tr>
      <w:tr>
        <w:tblPrEx>
          <w:tblLayout w:type="fixed"/>
          <w:tblCellMar>
            <w:top w:w="0" w:type="dxa"/>
            <w:left w:w="108" w:type="dxa"/>
            <w:bottom w:w="0" w:type="dxa"/>
            <w:right w:w="108" w:type="dxa"/>
          </w:tblCellMar>
        </w:tblPrEx>
        <w:trPr>
          <w:trHeight w:val="397" w:hRule="atLeast"/>
        </w:trPr>
        <w:tc>
          <w:tcPr>
            <w:tcW w:w="121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rPr>
                <w:rFonts w:ascii="宋体" w:hAnsi="宋体" w:eastAsia="宋体" w:cs="宋体"/>
                <w:b/>
                <w:bCs/>
              </w:rPr>
            </w:pPr>
          </w:p>
        </w:tc>
        <w:tc>
          <w:tcPr>
            <w:tcW w:w="4038" w:type="dxa"/>
            <w:gridSpan w:val="3"/>
            <w:tcBorders>
              <w:top w:val="single" w:color="auto" w:sz="4" w:space="0"/>
              <w:left w:val="nil"/>
              <w:bottom w:val="single" w:color="auto" w:sz="4" w:space="0"/>
              <w:right w:val="single" w:color="000000"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小计</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708"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　</w:t>
            </w:r>
          </w:p>
        </w:tc>
        <w:tc>
          <w:tcPr>
            <w:tcW w:w="851"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c>
          <w:tcPr>
            <w:tcW w:w="1417" w:type="dxa"/>
            <w:tcBorders>
              <w:top w:val="nil"/>
              <w:left w:val="nil"/>
              <w:bottom w:val="single" w:color="auto" w:sz="4" w:space="0"/>
              <w:right w:val="single" w:color="auto" w:sz="4" w:space="0"/>
            </w:tcBorders>
            <w:shd w:val="clear" w:color="000000" w:fill="A9E9E3"/>
            <w:noWrap/>
            <w:vAlign w:val="center"/>
          </w:tcPr>
          <w:p>
            <w:pPr>
              <w:adjustRightInd/>
              <w:snapToGrid/>
              <w:spacing w:after="0"/>
              <w:jc w:val="center"/>
              <w:rPr>
                <w:rFonts w:ascii="宋体" w:hAnsi="宋体" w:eastAsia="宋体" w:cs="宋体"/>
                <w:b/>
                <w:bCs/>
              </w:rPr>
            </w:pPr>
          </w:p>
        </w:tc>
      </w:tr>
      <w:tr>
        <w:tblPrEx>
          <w:tblLayout w:type="fixed"/>
          <w:tblCellMar>
            <w:top w:w="0" w:type="dxa"/>
            <w:left w:w="108" w:type="dxa"/>
            <w:bottom w:w="0" w:type="dxa"/>
            <w:right w:w="108" w:type="dxa"/>
          </w:tblCellMar>
        </w:tblPrEx>
        <w:trPr>
          <w:trHeight w:val="397" w:hRule="atLeast"/>
        </w:trPr>
        <w:tc>
          <w:tcPr>
            <w:tcW w:w="1996" w:type="dxa"/>
            <w:gridSpan w:val="3"/>
            <w:tcBorders>
              <w:top w:val="single" w:color="auto" w:sz="4" w:space="0"/>
              <w:left w:val="single" w:color="auto" w:sz="4" w:space="0"/>
              <w:bottom w:val="single" w:color="auto" w:sz="4" w:space="0"/>
              <w:right w:val="single" w:color="auto" w:sz="4" w:space="0"/>
            </w:tcBorders>
            <w:shd w:val="clear" w:color="000000" w:fill="FFC000"/>
            <w:noWrap/>
            <w:vAlign w:val="center"/>
          </w:tcPr>
          <w:p>
            <w:pPr>
              <w:adjustRightInd/>
              <w:snapToGrid/>
              <w:spacing w:after="0"/>
              <w:jc w:val="center"/>
              <w:rPr>
                <w:rFonts w:ascii="宋体" w:hAnsi="宋体" w:eastAsia="宋体" w:cs="宋体"/>
                <w:b/>
                <w:bCs/>
              </w:rPr>
            </w:pPr>
            <w:r>
              <w:rPr>
                <w:rFonts w:hint="eastAsia" w:ascii="宋体" w:hAnsi="宋体" w:eastAsia="宋体" w:cs="宋体"/>
                <w:b/>
                <w:bCs/>
              </w:rPr>
              <w:t>项目总价</w:t>
            </w:r>
          </w:p>
        </w:tc>
        <w:tc>
          <w:tcPr>
            <w:tcW w:w="7084" w:type="dxa"/>
            <w:gridSpan w:val="5"/>
            <w:tcBorders>
              <w:top w:val="nil"/>
              <w:left w:val="nil"/>
              <w:bottom w:val="single" w:color="auto" w:sz="4" w:space="0"/>
              <w:right w:val="single" w:color="auto" w:sz="4" w:space="0"/>
            </w:tcBorders>
            <w:shd w:val="clear" w:color="000000" w:fill="FFC000"/>
            <w:noWrap/>
            <w:vAlign w:val="center"/>
          </w:tcPr>
          <w:p>
            <w:pPr>
              <w:adjustRightInd/>
              <w:snapToGrid/>
              <w:spacing w:after="0"/>
              <w:rPr>
                <w:rFonts w:ascii="宋体" w:hAnsi="宋体" w:eastAsia="宋体" w:cs="宋体"/>
                <w:b/>
                <w:bCs/>
                <w:sz w:val="24"/>
                <w:szCs w:val="24"/>
              </w:rPr>
            </w:pPr>
            <w:r>
              <w:rPr>
                <w:rFonts w:hint="eastAsia" w:ascii="宋体" w:hAnsi="宋体" w:eastAsia="宋体" w:cs="宋体"/>
                <w:b/>
                <w:bCs/>
              </w:rPr>
              <w:t>　</w:t>
            </w:r>
          </w:p>
        </w:tc>
      </w:tr>
    </w:tbl>
    <w:p>
      <w:pPr>
        <w:pStyle w:val="9"/>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备注：其它附加费用可另行列表。</w:t>
      </w: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附件三：</w:t>
      </w:r>
    </w:p>
    <w:p>
      <w:pPr>
        <w:pStyle w:val="9"/>
        <w:ind w:left="0" w:leftChars="0" w:firstLine="0" w:firstLineChars="0"/>
        <w:rPr>
          <w:rFonts w:hint="eastAsia" w:ascii="宋体" w:hAnsi="宋体" w:eastAsia="宋体" w:cs="宋体"/>
          <w:b/>
          <w:bCs/>
          <w:sz w:val="24"/>
          <w:szCs w:val="24"/>
        </w:rPr>
      </w:pPr>
    </w:p>
    <w:tbl>
      <w:tblPr>
        <w:tblStyle w:val="10"/>
        <w:tblW w:w="8944" w:type="dxa"/>
        <w:jc w:val="center"/>
        <w:tblInd w:w="0" w:type="dxa"/>
        <w:tblLayout w:type="fixed"/>
        <w:tblCellMar>
          <w:top w:w="0" w:type="dxa"/>
          <w:left w:w="0" w:type="dxa"/>
          <w:bottom w:w="0" w:type="dxa"/>
          <w:right w:w="0" w:type="dxa"/>
        </w:tblCellMar>
      </w:tblPr>
      <w:tblGrid>
        <w:gridCol w:w="681"/>
        <w:gridCol w:w="1701"/>
        <w:gridCol w:w="2485"/>
        <w:gridCol w:w="1134"/>
        <w:gridCol w:w="2943"/>
      </w:tblGrid>
      <w:tr>
        <w:tblPrEx>
          <w:tblLayout w:type="fixed"/>
          <w:tblCellMar>
            <w:top w:w="0" w:type="dxa"/>
            <w:left w:w="0" w:type="dxa"/>
            <w:bottom w:w="0" w:type="dxa"/>
            <w:right w:w="0" w:type="dxa"/>
          </w:tblCellMar>
        </w:tblPrEx>
        <w:trPr>
          <w:trHeight w:val="397" w:hRule="atLeast"/>
          <w:jc w:val="center"/>
        </w:trPr>
        <w:tc>
          <w:tcPr>
            <w:tcW w:w="894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
                <w:sz w:val="28"/>
                <w:szCs w:val="28"/>
              </w:rPr>
              <w:t>材料品牌明细表</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序号</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名称</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品牌</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等级</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规格</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沙子</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河沙</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中砂</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2</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砖头</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红砖</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一级</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50*95*205</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3</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水泥</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万年青325#</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50kg/包</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4</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木工板</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莫干山/绿野</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12/15厘</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5</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石膏板</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泰山防潮</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9.5厘</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6</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白胶</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金万得</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10升</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7</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防水</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卓昱、磊彩</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8</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电线</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南平太阳牌</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100米/捆</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9</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电套管</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科恩</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直径20/16</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10</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网络线</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秋叶原5类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100米/捆</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11</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腻子粉</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大匠</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25kg/包</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12</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水泥底漆</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多乐士、立邦</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5L/桶</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13</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水泥面漆</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多乐士、立邦</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5L/桶</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14</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PVC排水管</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亚通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3米/条</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PPR进水管</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亚通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3米/条</w:t>
            </w: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16</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瓷砖</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17</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钢化玻璃</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新福新</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18</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集成吊顶</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美斯特</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19</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开关、插座</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飞雕</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p>
        </w:tc>
      </w:tr>
      <w:tr>
        <w:tblPrEx>
          <w:tblLayout w:type="fixed"/>
          <w:tblCellMar>
            <w:top w:w="0" w:type="dxa"/>
            <w:left w:w="0" w:type="dxa"/>
            <w:bottom w:w="0" w:type="dxa"/>
            <w:right w:w="0" w:type="dxa"/>
          </w:tblCellMar>
        </w:tblPrEx>
        <w:trPr>
          <w:trHeight w:val="397"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20</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灯具</w:t>
            </w:r>
          </w:p>
        </w:tc>
        <w:tc>
          <w:tcPr>
            <w:tcW w:w="2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欧乐帮</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r>
              <w:rPr>
                <w:rFonts w:hint="eastAsia" w:ascii="宋体" w:hAnsi="宋体" w:eastAsia="宋体" w:cs="宋体"/>
                <w:bCs/>
              </w:rPr>
              <w:t>优</w:t>
            </w:r>
          </w:p>
        </w:tc>
        <w:tc>
          <w:tcPr>
            <w:tcW w:w="29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rPr>
                <w:rFonts w:ascii="宋体" w:hAnsi="宋体" w:eastAsia="宋体" w:cs="宋体"/>
                <w:bCs/>
              </w:rPr>
            </w:pPr>
          </w:p>
        </w:tc>
      </w:tr>
    </w:tbl>
    <w:p>
      <w:pPr>
        <w:pStyle w:val="9"/>
        <w:ind w:left="440" w:firstLine="480"/>
        <w:rPr>
          <w:rFonts w:hint="eastAsia" w:ascii="宋体" w:hAnsi="宋体" w:eastAsia="宋体" w:cs="宋体"/>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hint="eastAsia" w:ascii="宋体" w:hAnsi="宋体" w:eastAsia="宋体" w:cs="宋体"/>
          <w:b/>
          <w:bCs/>
          <w:sz w:val="24"/>
          <w:szCs w:val="24"/>
        </w:rPr>
      </w:pPr>
    </w:p>
    <w:p>
      <w:pPr>
        <w:pStyle w:val="9"/>
        <w:ind w:left="0" w:leftChars="0" w:firstLine="0" w:firstLineChars="0"/>
        <w:rPr>
          <w:rFonts w:ascii="宋体" w:hAnsi="宋体" w:eastAsia="宋体" w:cs="宋体"/>
          <w:b/>
          <w:bCs/>
          <w:sz w:val="24"/>
          <w:szCs w:val="24"/>
        </w:rPr>
      </w:pPr>
      <w:r>
        <w:rPr>
          <w:rFonts w:hint="eastAsia" w:ascii="宋体" w:hAnsi="宋体" w:eastAsia="宋体" w:cs="宋体"/>
          <w:b/>
          <w:bCs/>
          <w:sz w:val="24"/>
          <w:szCs w:val="24"/>
        </w:rPr>
        <w:t>附件四：</w:t>
      </w:r>
    </w:p>
    <w:p>
      <w:pPr>
        <w:keepNext w:val="0"/>
        <w:keepLines w:val="0"/>
        <w:pageBreakBefore w:val="0"/>
        <w:widowControl w:val="0"/>
        <w:kinsoku/>
        <w:wordWrap/>
        <w:overflowPunct/>
        <w:topLinePunct w:val="0"/>
        <w:autoSpaceDE/>
        <w:autoSpaceDN/>
        <w:bidi w:val="0"/>
        <w:adjustRightInd/>
        <w:snapToGrid w:val="0"/>
        <w:spacing w:beforeAutospacing="0" w:after="0" w:afterAutospacing="0" w:line="480" w:lineRule="exact"/>
        <w:jc w:val="center"/>
        <w:textAlignment w:val="auto"/>
        <w:rPr>
          <w:rFonts w:hint="eastAsia" w:asciiTheme="majorEastAsia" w:hAnsiTheme="majorEastAsia" w:eastAsiaTheme="majorEastAsia" w:cstheme="majorEastAsia"/>
          <w:bCs/>
          <w:sz w:val="44"/>
          <w:szCs w:val="44"/>
        </w:rPr>
      </w:pPr>
      <w:r>
        <w:rPr>
          <w:rFonts w:hint="eastAsia" w:asciiTheme="majorEastAsia" w:hAnsiTheme="majorEastAsia" w:eastAsiaTheme="majorEastAsia" w:cstheme="majorEastAsia"/>
          <w:bCs/>
          <w:sz w:val="44"/>
          <w:szCs w:val="44"/>
        </w:rPr>
        <w:t>福盐集团闽侯中盐福建2号</w:t>
      </w:r>
    </w:p>
    <w:p>
      <w:pPr>
        <w:keepNext w:val="0"/>
        <w:keepLines w:val="0"/>
        <w:pageBreakBefore w:val="0"/>
        <w:widowControl w:val="0"/>
        <w:kinsoku/>
        <w:wordWrap/>
        <w:overflowPunct/>
        <w:topLinePunct w:val="0"/>
        <w:autoSpaceDE/>
        <w:autoSpaceDN/>
        <w:bidi w:val="0"/>
        <w:adjustRightInd/>
        <w:snapToGrid w:val="0"/>
        <w:spacing w:beforeAutospacing="0" w:after="0" w:afterAutospacing="0" w:line="480" w:lineRule="exact"/>
        <w:jc w:val="center"/>
        <w:textAlignment w:val="auto"/>
        <w:rPr>
          <w:rFonts w:asciiTheme="majorEastAsia" w:hAnsiTheme="majorEastAsia" w:eastAsiaTheme="majorEastAsia" w:cstheme="majorEastAsia"/>
          <w:bCs/>
          <w:sz w:val="44"/>
          <w:szCs w:val="44"/>
        </w:rPr>
      </w:pPr>
      <w:r>
        <w:rPr>
          <w:rFonts w:hint="eastAsia" w:asciiTheme="majorEastAsia" w:hAnsiTheme="majorEastAsia" w:eastAsiaTheme="majorEastAsia" w:cstheme="majorEastAsia"/>
          <w:bCs/>
          <w:sz w:val="44"/>
          <w:szCs w:val="44"/>
        </w:rPr>
        <w:t>仓库修缮改造合同</w:t>
      </w:r>
    </w:p>
    <w:p>
      <w:pPr>
        <w:pStyle w:val="9"/>
        <w:keepNext w:val="0"/>
        <w:keepLines w:val="0"/>
        <w:pageBreakBefore w:val="0"/>
        <w:widowControl/>
        <w:kinsoku/>
        <w:wordWrap/>
        <w:overflowPunct/>
        <w:topLinePunct w:val="0"/>
        <w:autoSpaceDE/>
        <w:autoSpaceDN/>
        <w:bidi w:val="0"/>
        <w:adjustRightInd w:val="0"/>
        <w:snapToGrid w:val="0"/>
        <w:spacing w:after="0"/>
        <w:ind w:left="440" w:firstLine="4760" w:firstLineChars="1700"/>
        <w:textAlignment w:val="auto"/>
        <w:rPr>
          <w:rFonts w:ascii="仿宋_GB2312" w:hAnsi="仿宋_GB2312" w:eastAsia="仿宋_GB2312" w:cs="仿宋_GB2312"/>
          <w:kern w:val="10"/>
          <w:sz w:val="28"/>
          <w:szCs w:val="28"/>
        </w:rPr>
      </w:pPr>
      <w:r>
        <w:rPr>
          <w:rFonts w:hint="eastAsia" w:ascii="仿宋_GB2312" w:hAnsi="仿宋_GB2312" w:eastAsia="仿宋_GB2312" w:cs="仿宋_GB2312"/>
          <w:kern w:val="10"/>
          <w:sz w:val="28"/>
          <w:szCs w:val="28"/>
        </w:rPr>
        <w:t>合同编号：</w:t>
      </w:r>
    </w:p>
    <w:p>
      <w:pPr>
        <w:pStyle w:val="9"/>
        <w:keepNext w:val="0"/>
        <w:keepLines w:val="0"/>
        <w:pageBreakBefore w:val="0"/>
        <w:widowControl/>
        <w:kinsoku/>
        <w:wordWrap/>
        <w:overflowPunct/>
        <w:topLinePunct w:val="0"/>
        <w:autoSpaceDE/>
        <w:autoSpaceDN/>
        <w:bidi w:val="0"/>
        <w:adjustRightInd w:val="0"/>
        <w:snapToGrid w:val="0"/>
        <w:spacing w:after="0"/>
        <w:ind w:left="440" w:firstLine="4760" w:firstLineChars="1700"/>
        <w:textAlignment w:val="auto"/>
        <w:rPr>
          <w:rFonts w:hint="eastAsia" w:ascii="仿宋_GB2312" w:hAnsi="仿宋_GB2312" w:eastAsia="仿宋_GB2312" w:cs="仿宋_GB2312"/>
          <w:kern w:val="10"/>
          <w:sz w:val="28"/>
          <w:szCs w:val="28"/>
        </w:rPr>
      </w:pPr>
      <w:r>
        <w:rPr>
          <w:rFonts w:hint="eastAsia" w:ascii="仿宋_GB2312" w:hAnsi="仿宋_GB2312" w:eastAsia="仿宋_GB2312" w:cs="仿宋_GB2312"/>
          <w:kern w:val="10"/>
          <w:sz w:val="28"/>
          <w:szCs w:val="28"/>
        </w:rPr>
        <w:t>签 订 地：</w:t>
      </w:r>
    </w:p>
    <w:p>
      <w:pPr>
        <w:pStyle w:val="9"/>
        <w:ind w:left="440" w:firstLine="4760" w:firstLineChars="1700"/>
        <w:rPr>
          <w:rFonts w:hint="eastAsia" w:ascii="仿宋_GB2312" w:hAnsi="仿宋_GB2312" w:eastAsia="仿宋_GB2312" w:cs="仿宋_GB2312"/>
          <w:kern w:val="10"/>
          <w:sz w:val="28"/>
          <w:szCs w:val="28"/>
        </w:rPr>
      </w:pP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委托方：（以下简称甲方）福建省盐业集团有限责任公司/福建闽盐食品科技有限公司</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4"/>
          <w:szCs w:val="24"/>
          <w:lang w:val="en-US" w:eastAsia="zh-CN"/>
        </w:rPr>
      </w:pPr>
      <w:r>
        <w:rPr>
          <w:rFonts w:hint="eastAsia" w:ascii="宋体" w:hAnsi="宋体" w:eastAsia="宋体" w:cs="宋体"/>
          <w:kern w:val="10"/>
          <w:sz w:val="24"/>
          <w:szCs w:val="24"/>
          <w:lang w:val="en-US" w:eastAsia="zh-CN"/>
        </w:rPr>
        <w:t xml:space="preserve">联系地址：              </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4"/>
          <w:szCs w:val="24"/>
          <w:lang w:val="en-US" w:eastAsia="zh-CN"/>
        </w:rPr>
      </w:pPr>
      <w:r>
        <w:rPr>
          <w:rFonts w:hint="eastAsia" w:ascii="宋体" w:hAnsi="宋体" w:eastAsia="宋体" w:cs="宋体"/>
          <w:kern w:val="10"/>
          <w:sz w:val="24"/>
          <w:szCs w:val="24"/>
          <w:lang w:val="en-US" w:eastAsia="zh-CN"/>
        </w:rPr>
        <w:t xml:space="preserve">联系人：                   联系方式： </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default" w:ascii="宋体" w:hAnsi="宋体" w:eastAsia="宋体" w:cs="宋体"/>
          <w:kern w:val="10"/>
          <w:sz w:val="24"/>
          <w:szCs w:val="24"/>
          <w:lang w:val="en-US" w:eastAsia="zh-CN"/>
        </w:rPr>
      </w:pPr>
      <w:r>
        <w:rPr>
          <w:rFonts w:hint="eastAsia" w:ascii="宋体" w:hAnsi="宋体" w:eastAsia="宋体" w:cs="宋体"/>
          <w:kern w:val="1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施工方：（以下简称乙方）</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4"/>
          <w:szCs w:val="24"/>
          <w:lang w:val="en-US" w:eastAsia="zh-CN"/>
        </w:rPr>
      </w:pPr>
      <w:r>
        <w:rPr>
          <w:rFonts w:hint="eastAsia" w:ascii="宋体" w:hAnsi="宋体" w:eastAsia="宋体" w:cs="宋体"/>
          <w:kern w:val="10"/>
          <w:sz w:val="24"/>
          <w:szCs w:val="24"/>
          <w:lang w:val="en-US" w:eastAsia="zh-CN"/>
        </w:rPr>
        <w:t xml:space="preserve">联系地址：              </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4"/>
          <w:szCs w:val="24"/>
          <w:lang w:val="en-US" w:eastAsia="zh-CN"/>
        </w:rPr>
      </w:pPr>
      <w:r>
        <w:rPr>
          <w:rFonts w:hint="eastAsia" w:ascii="宋体" w:hAnsi="宋体" w:eastAsia="宋体" w:cs="宋体"/>
          <w:kern w:val="10"/>
          <w:sz w:val="24"/>
          <w:szCs w:val="24"/>
          <w:lang w:val="en-US" w:eastAsia="zh-CN"/>
        </w:rPr>
        <w:t xml:space="preserve">联系人：                   联系方式： </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根据 《中华人民共和国民法典》及其它有关法律、行政法规，遵循平等、自愿、公平和诚实信用的原则，双方就本修缮改造施工事项协商一致，订立本合同。</w:t>
      </w:r>
    </w:p>
    <w:p>
      <w:pPr>
        <w:keepNext w:val="0"/>
        <w:keepLines w:val="0"/>
        <w:pageBreakBefore w:val="0"/>
        <w:widowControl w:val="0"/>
        <w:kinsoku/>
        <w:wordWrap/>
        <w:overflowPunct/>
        <w:topLinePunct w:val="0"/>
        <w:autoSpaceDE/>
        <w:autoSpaceDN/>
        <w:bidi w:val="0"/>
        <w:adjustRightInd/>
        <w:snapToGrid/>
        <w:spacing w:after="80" w:line="479" w:lineRule="exact"/>
        <w:ind w:firstLine="562" w:firstLineChars="200"/>
        <w:jc w:val="both"/>
        <w:textAlignment w:val="auto"/>
        <w:rPr>
          <w:rFonts w:hint="eastAsia" w:ascii="宋体" w:hAnsi="宋体" w:eastAsia="宋体" w:cs="宋体"/>
          <w:kern w:val="10"/>
          <w:sz w:val="28"/>
          <w:szCs w:val="28"/>
        </w:rPr>
      </w:pPr>
      <w:r>
        <w:rPr>
          <w:rFonts w:hint="eastAsia" w:ascii="宋体" w:hAnsi="宋体" w:eastAsia="宋体" w:cs="宋体"/>
          <w:b/>
          <w:kern w:val="10"/>
          <w:sz w:val="28"/>
          <w:szCs w:val="28"/>
        </w:rPr>
        <w:t>第一条</w:t>
      </w:r>
      <w:r>
        <w:rPr>
          <w:rFonts w:hint="eastAsia" w:ascii="宋体" w:hAnsi="宋体" w:eastAsia="宋体" w:cs="宋体"/>
          <w:kern w:val="10"/>
          <w:sz w:val="28"/>
          <w:szCs w:val="28"/>
        </w:rPr>
        <w:t>：工程概况</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 工程名称：福盐集团闽侯中盐2号仓库修缮改造</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 工程地点:闽侯县经济技术开发区南岭路5号中盐福建盐业有限公司2#仓</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 工程范围：</w:t>
      </w:r>
      <w:r>
        <w:rPr>
          <w:rFonts w:hint="eastAsia" w:ascii="宋体" w:hAnsi="宋体" w:eastAsia="宋体" w:cs="宋体"/>
          <w:sz w:val="28"/>
          <w:szCs w:val="28"/>
        </w:rPr>
        <w:t>（详见报价表及平面图）</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4. 工程承包方式：本工程采用包工包料方式承包 （工程总包）</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5. 工程造价：</w:t>
      </w:r>
    </w:p>
    <w:p>
      <w:pPr>
        <w:keepNext w:val="0"/>
        <w:keepLines w:val="0"/>
        <w:pageBreakBefore w:val="0"/>
        <w:widowControl w:val="0"/>
        <w:kinsoku/>
        <w:wordWrap/>
        <w:overflowPunct/>
        <w:topLinePunct w:val="0"/>
        <w:autoSpaceDE/>
        <w:autoSpaceDN/>
        <w:bidi w:val="0"/>
        <w:adjustRightInd/>
        <w:snapToGrid/>
        <w:spacing w:after="80" w:line="479" w:lineRule="exact"/>
        <w:ind w:left="319" w:leftChars="145"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工程总造价为￥</w:t>
      </w:r>
      <w:r>
        <w:rPr>
          <w:rFonts w:hint="eastAsia" w:ascii="宋体" w:hAnsi="宋体" w:eastAsia="宋体" w:cs="宋体"/>
          <w:kern w:val="10"/>
          <w:sz w:val="28"/>
          <w:szCs w:val="28"/>
          <w:lang w:val="en-US" w:eastAsia="zh-CN"/>
        </w:rPr>
        <w:t xml:space="preserve">      </w:t>
      </w:r>
      <w:r>
        <w:rPr>
          <w:rFonts w:hint="eastAsia" w:ascii="宋体" w:hAnsi="宋体" w:eastAsia="宋体" w:cs="宋体"/>
          <w:kern w:val="10"/>
          <w:sz w:val="28"/>
          <w:szCs w:val="28"/>
        </w:rPr>
        <w:t>元，大写人民币：</w:t>
      </w:r>
      <w:r>
        <w:rPr>
          <w:rFonts w:hint="eastAsia" w:ascii="宋体" w:hAnsi="宋体" w:eastAsia="宋体" w:cs="宋体"/>
          <w:kern w:val="10"/>
          <w:sz w:val="28"/>
          <w:szCs w:val="28"/>
          <w:lang w:val="en-US" w:eastAsia="zh-CN"/>
        </w:rPr>
        <w:t xml:space="preserve">         </w:t>
      </w:r>
      <w:r>
        <w:rPr>
          <w:rFonts w:hint="eastAsia" w:ascii="宋体" w:hAnsi="宋体" w:eastAsia="宋体" w:cs="宋体"/>
          <w:sz w:val="28"/>
          <w:szCs w:val="28"/>
        </w:rPr>
        <w:t>元整。</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第二条：工程期限</w:t>
      </w:r>
    </w:p>
    <w:p>
      <w:pPr>
        <w:keepNext w:val="0"/>
        <w:keepLines w:val="0"/>
        <w:pageBreakBefore w:val="0"/>
        <w:widowControl w:val="0"/>
        <w:numPr>
          <w:ilvl w:val="0"/>
          <w:numId w:val="0"/>
        </w:numPr>
        <w:kinsoku/>
        <w:wordWrap/>
        <w:overflowPunct/>
        <w:topLinePunct w:val="0"/>
        <w:autoSpaceDE/>
        <w:autoSpaceDN/>
        <w:bidi w:val="0"/>
        <w:adjustRightInd/>
        <w:snapToGrid/>
        <w:spacing w:after="80" w:line="479" w:lineRule="exact"/>
        <w:ind w:firstLine="560" w:firstLineChars="200"/>
        <w:jc w:val="both"/>
        <w:textAlignment w:val="auto"/>
        <w:outlineLvl w:val="0"/>
        <w:rPr>
          <w:rFonts w:hint="eastAsia" w:ascii="宋体" w:hAnsi="宋体" w:eastAsia="宋体" w:cs="宋体"/>
          <w:kern w:val="10"/>
          <w:sz w:val="28"/>
          <w:szCs w:val="28"/>
        </w:rPr>
      </w:pPr>
      <w:r>
        <w:rPr>
          <w:rFonts w:hint="eastAsia" w:ascii="宋体" w:hAnsi="宋体" w:eastAsia="宋体" w:cs="宋体"/>
          <w:kern w:val="10"/>
          <w:sz w:val="28"/>
          <w:szCs w:val="28"/>
          <w:lang w:val="en-US" w:eastAsia="zh-CN"/>
        </w:rPr>
        <w:t>1.</w:t>
      </w:r>
      <w:r>
        <w:rPr>
          <w:rFonts w:hint="eastAsia" w:ascii="宋体" w:hAnsi="宋体" w:eastAsia="宋体" w:cs="宋体"/>
          <w:kern w:val="10"/>
          <w:sz w:val="28"/>
          <w:szCs w:val="28"/>
        </w:rPr>
        <w:t>经甲、乙双方商定：本工程合同工期为天，具体开竣工时间以合同签订之日起计。</w:t>
      </w:r>
    </w:p>
    <w:p>
      <w:pPr>
        <w:keepNext w:val="0"/>
        <w:keepLines w:val="0"/>
        <w:pageBreakBefore w:val="0"/>
        <w:widowControl w:val="0"/>
        <w:numPr>
          <w:ilvl w:val="0"/>
          <w:numId w:val="0"/>
        </w:numPr>
        <w:kinsoku/>
        <w:wordWrap/>
        <w:overflowPunct/>
        <w:topLinePunct w:val="0"/>
        <w:autoSpaceDE/>
        <w:autoSpaceDN/>
        <w:bidi w:val="0"/>
        <w:adjustRightInd/>
        <w:snapToGrid/>
        <w:spacing w:after="80" w:line="479" w:lineRule="exact"/>
        <w:ind w:firstLine="560" w:firstLineChars="200"/>
        <w:jc w:val="both"/>
        <w:textAlignment w:val="auto"/>
        <w:outlineLvl w:val="0"/>
        <w:rPr>
          <w:rFonts w:hint="eastAsia" w:ascii="宋体" w:hAnsi="宋体" w:eastAsia="宋体" w:cs="宋体"/>
          <w:kern w:val="10"/>
          <w:sz w:val="28"/>
          <w:szCs w:val="28"/>
        </w:rPr>
      </w:pPr>
      <w:r>
        <w:rPr>
          <w:rFonts w:hint="eastAsia" w:ascii="宋体" w:hAnsi="宋体" w:eastAsia="宋体" w:cs="宋体"/>
          <w:kern w:val="10"/>
          <w:sz w:val="28"/>
          <w:szCs w:val="28"/>
          <w:lang w:val="en-US" w:eastAsia="zh-CN"/>
        </w:rPr>
        <w:t>2.</w:t>
      </w:r>
      <w:r>
        <w:rPr>
          <w:rFonts w:hint="eastAsia" w:ascii="宋体" w:hAnsi="宋体" w:eastAsia="宋体" w:cs="宋体"/>
          <w:kern w:val="10"/>
          <w:sz w:val="28"/>
          <w:szCs w:val="28"/>
        </w:rPr>
        <w:t>工程在施工过程中，如遇下列情况，可顺延工期：</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（1）由于不可抗力造成无法正常施工的；</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（2）由于甲方原因影响连续施工的；</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（3）由于施工工地（非乙方原因）一月内停电停水造成停工累计超过8小时；</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（4）由于甲方原因未能配合而影响施工的。</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第三条：工程施工准备与双方责任</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outlineLvl w:val="0"/>
        <w:rPr>
          <w:rFonts w:hint="eastAsia" w:ascii="宋体" w:hAnsi="宋体" w:eastAsia="宋体" w:cs="宋体"/>
          <w:kern w:val="10"/>
          <w:sz w:val="28"/>
          <w:szCs w:val="28"/>
        </w:rPr>
      </w:pPr>
      <w:r>
        <w:rPr>
          <w:rFonts w:hint="eastAsia" w:ascii="宋体" w:hAnsi="宋体" w:eastAsia="宋体" w:cs="宋体"/>
          <w:kern w:val="10"/>
          <w:sz w:val="28"/>
          <w:szCs w:val="28"/>
        </w:rPr>
        <w:t>1.甲方责任：</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（1）开工前甲方协调各方面的关系，办妥进场手续。</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（2）甲方代表实施工程质量、进度监督，代表甲方处理工程日常事宜。</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（3）开工前甲方腾空场地以便乙方施工。</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2.乙方责任：</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（1）开工前组织有关人员熟悉现场，编制施工计划，制定施工总进度计划。</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（2）做好施工准备工作，组织好人员及材料设备的进场、采购、供应和管理。</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（3）未经甲方同意和所在地房管或物业管理部门批准，不得随意拆改原有建筑承重结构及各种共用设备管线。</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（4）严格按要求施工，确保工程质量，按合同规定的时间如期完工和交付，并承担双方约定的维修保养协议相关规定。人为损坏的修理由责任方负责，并承担费用。</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（5）在施工期间，施工范围内的安全责任均由乙方负责并承担相应的责任。</w:t>
      </w:r>
    </w:p>
    <w:p>
      <w:pPr>
        <w:keepNext w:val="0"/>
        <w:keepLines w:val="0"/>
        <w:pageBreakBefore w:val="0"/>
        <w:widowControl w:val="0"/>
        <w:kinsoku/>
        <w:wordWrap/>
        <w:overflowPunct/>
        <w:topLinePunct w:val="0"/>
        <w:autoSpaceDE/>
        <w:autoSpaceDN/>
        <w:bidi w:val="0"/>
        <w:adjustRightInd/>
        <w:snapToGrid/>
        <w:spacing w:after="80" w:line="479" w:lineRule="exact"/>
        <w:ind w:firstLine="280" w:firstLineChars="1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6）乙方驻工地代表，代表乙方与甲方代表人员接洽，负责合同履行。按要求组织施工，保质、保量、按期完成施工任务，解决由乙方负责的各项事宜，对其行为乙方应予认可。如更换人员，乙方应及时通知甲方。</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第四条：违约责任</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color w:val="0000FF"/>
          <w:kern w:val="10"/>
          <w:sz w:val="28"/>
          <w:szCs w:val="28"/>
        </w:rPr>
      </w:pPr>
      <w:r>
        <w:rPr>
          <w:rFonts w:hint="eastAsia" w:ascii="宋体" w:hAnsi="宋体" w:eastAsia="宋体" w:cs="宋体"/>
          <w:kern w:val="10"/>
          <w:sz w:val="28"/>
          <w:szCs w:val="28"/>
        </w:rPr>
        <w:t>1.由于乙方原因逾期竣工的，</w:t>
      </w:r>
      <w:r>
        <w:rPr>
          <w:rFonts w:hint="eastAsia" w:ascii="宋体" w:hAnsi="宋体" w:eastAsia="宋体" w:cs="宋体"/>
          <w:color w:val="0000FF"/>
          <w:kern w:val="10"/>
          <w:sz w:val="28"/>
          <w:szCs w:val="28"/>
        </w:rPr>
        <w:t>每逾期壹天，乙方向甲方支付</w:t>
      </w:r>
      <w:r>
        <w:rPr>
          <w:rFonts w:hint="eastAsia" w:ascii="宋体" w:hAnsi="宋体" w:eastAsia="宋体" w:cs="宋体"/>
          <w:color w:val="0000FF"/>
          <w:kern w:val="10"/>
          <w:sz w:val="28"/>
          <w:szCs w:val="28"/>
          <w:lang w:val="en-US" w:eastAsia="zh-CN"/>
        </w:rPr>
        <w:t>1万元人民币</w:t>
      </w:r>
      <w:r>
        <w:rPr>
          <w:rFonts w:hint="eastAsia" w:ascii="宋体" w:hAnsi="宋体" w:eastAsia="宋体" w:cs="宋体"/>
          <w:color w:val="0000FF"/>
          <w:kern w:val="10"/>
          <w:sz w:val="28"/>
          <w:szCs w:val="28"/>
        </w:rPr>
        <w:t>违约金。</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2.甲方未办理有关手续，强行要求乙方拆改原有建筑承重结构及共用设备管线，由此发生的损失或事故(包括罚款)由甲方负责并承担责任。</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第五条：工程价款及支付</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outlineLvl w:val="0"/>
        <w:rPr>
          <w:rFonts w:hint="eastAsia" w:ascii="宋体" w:hAnsi="宋体" w:eastAsia="宋体" w:cs="宋体"/>
          <w:kern w:val="10"/>
          <w:sz w:val="28"/>
          <w:szCs w:val="28"/>
        </w:rPr>
      </w:pPr>
      <w:r>
        <w:rPr>
          <w:rFonts w:hint="eastAsia" w:ascii="宋体" w:hAnsi="宋体" w:eastAsia="宋体" w:cs="宋体"/>
          <w:kern w:val="10"/>
          <w:sz w:val="28"/>
          <w:szCs w:val="28"/>
        </w:rPr>
        <w:t>1.本工程项目以预算报价为结算依据。</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2.本工程合同总价为￥元，大写（元整）</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3.签订合同后，甲方向乙方支付合同总价的</w:t>
      </w:r>
      <w:r>
        <w:rPr>
          <w:rFonts w:hint="eastAsia" w:ascii="宋体" w:hAnsi="宋体" w:eastAsia="宋体" w:cs="宋体"/>
          <w:kern w:val="10"/>
          <w:sz w:val="28"/>
          <w:szCs w:val="28"/>
          <w:u w:val="single"/>
        </w:rPr>
        <w:t xml:space="preserve">  </w:t>
      </w:r>
      <w:r>
        <w:rPr>
          <w:rFonts w:hint="eastAsia" w:ascii="宋体" w:hAnsi="宋体" w:eastAsia="宋体" w:cs="宋体"/>
          <w:kern w:val="10"/>
          <w:sz w:val="28"/>
          <w:szCs w:val="28"/>
          <w:u w:val="single"/>
          <w:lang w:val="en-US" w:eastAsia="zh-CN"/>
        </w:rPr>
        <w:t xml:space="preserve">  </w:t>
      </w:r>
      <w:r>
        <w:rPr>
          <w:rFonts w:hint="eastAsia" w:ascii="宋体" w:hAnsi="宋体" w:eastAsia="宋体" w:cs="宋体"/>
          <w:kern w:val="10"/>
          <w:sz w:val="28"/>
          <w:szCs w:val="28"/>
          <w:u w:val="single"/>
        </w:rPr>
        <w:t xml:space="preserve"> %</w:t>
      </w:r>
      <w:r>
        <w:rPr>
          <w:rFonts w:hint="eastAsia" w:ascii="宋体" w:hAnsi="宋体" w:eastAsia="宋体" w:cs="宋体"/>
          <w:kern w:val="10"/>
          <w:sz w:val="28"/>
          <w:szCs w:val="28"/>
        </w:rPr>
        <w:t>￥元，大写（元整）预付款，不支付进度款。</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lang w:val="en-US" w:eastAsia="zh-CN"/>
        </w:rPr>
        <w:t xml:space="preserve">    4</w:t>
      </w:r>
      <w:r>
        <w:rPr>
          <w:rFonts w:hint="eastAsia" w:ascii="宋体" w:hAnsi="宋体" w:eastAsia="宋体" w:cs="宋体"/>
          <w:kern w:val="10"/>
          <w:sz w:val="28"/>
          <w:szCs w:val="28"/>
        </w:rPr>
        <w:t>.竣工验收后甲方向乙方支付至合同总价的%（</w:t>
      </w:r>
      <w:r>
        <w:rPr>
          <w:rFonts w:hint="eastAsia" w:ascii="宋体" w:hAnsi="宋体" w:eastAsia="宋体" w:cs="宋体"/>
          <w:kern w:val="10"/>
          <w:sz w:val="28"/>
          <w:szCs w:val="28"/>
          <w:u w:val="single"/>
        </w:rPr>
        <w:t>￥       元</w:t>
      </w:r>
      <w:r>
        <w:rPr>
          <w:rFonts w:hint="eastAsia" w:ascii="宋体" w:hAnsi="宋体" w:eastAsia="宋体" w:cs="宋体"/>
          <w:kern w:val="10"/>
          <w:sz w:val="28"/>
          <w:szCs w:val="28"/>
        </w:rPr>
        <w:t>），大写（元整）,剩余%（￥元）,大写（元整）的款项作为项目质保金，待项目竣工个月后支付（即保修期年）。（在付款前乙方应开具相应的增值税专用发票）</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第六条：施工质量</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outlineLvl w:val="0"/>
        <w:rPr>
          <w:rFonts w:hint="eastAsia" w:ascii="宋体" w:hAnsi="宋体" w:eastAsia="宋体" w:cs="宋体"/>
          <w:kern w:val="10"/>
          <w:sz w:val="28"/>
          <w:szCs w:val="28"/>
        </w:rPr>
      </w:pPr>
      <w:r>
        <w:rPr>
          <w:rFonts w:hint="eastAsia" w:ascii="宋体" w:hAnsi="宋体" w:eastAsia="宋体" w:cs="宋体"/>
          <w:kern w:val="10"/>
          <w:sz w:val="28"/>
          <w:szCs w:val="28"/>
        </w:rPr>
        <w:t>按约定进行修缮，工程质量达国家有关行业规范合格标准。</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outlineLvl w:val="0"/>
        <w:rPr>
          <w:rFonts w:hint="eastAsia" w:ascii="宋体" w:hAnsi="宋体" w:eastAsia="宋体" w:cs="宋体"/>
          <w:b/>
          <w:kern w:val="10"/>
          <w:sz w:val="28"/>
          <w:szCs w:val="28"/>
        </w:rPr>
      </w:pPr>
      <w:r>
        <w:rPr>
          <w:rFonts w:hint="eastAsia" w:ascii="宋体" w:hAnsi="宋体" w:eastAsia="宋体" w:cs="宋体"/>
          <w:b/>
          <w:kern w:val="10"/>
          <w:sz w:val="28"/>
          <w:szCs w:val="28"/>
        </w:rPr>
        <w:t>第七条：工程竣工验收及保修</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1.乙方在工程竣工后通知甲方验收。</w:t>
      </w:r>
    </w:p>
    <w:p>
      <w:pPr>
        <w:keepNext w:val="0"/>
        <w:keepLines w:val="0"/>
        <w:pageBreakBefore w:val="0"/>
        <w:widowControl w:val="0"/>
        <w:numPr>
          <w:ilvl w:val="0"/>
          <w:numId w:val="2"/>
        </w:numPr>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甲方应在接到验收通知后组织验收，验收后在工程验收证明上确认。</w:t>
      </w:r>
    </w:p>
    <w:p>
      <w:pPr>
        <w:keepNext w:val="0"/>
        <w:keepLines w:val="0"/>
        <w:pageBreakBefore w:val="0"/>
        <w:widowControl w:val="0"/>
        <w:numPr>
          <w:ilvl w:val="0"/>
          <w:numId w:val="2"/>
        </w:numPr>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工程验收不符合要求，乙方负责返工，并承担违约和赔偿责任。</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4.工程保修期个月（即保修期年），保修期内出现工程质量问题，由乙方负责维修直至合格，所有费用由乙方自行承担。</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 xml:space="preserve">    5.工程未经验收，甲方提前使用，应视为甲方已确认工程合格，若使用后发现质量问题，由甲方承担责任。</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第八条：工程安全生产、文明施工</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1.项目要做好安全交底，明确安全要求并进行监督检查，双方应按规定协商相关安全生产责任和治安消防事宜。</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2.乙方必须认真贯彻安全生产、文明施工的规章制度，做好安全生产、文明施工教育工作，严格遵守安全操作规程、文明施工要求及严格执行治安消防条例。</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3.工程在施工期间，乙方人员发生工伤和急病等，甲方有提供方便、协助抢救义务，责任和费用均由乙方负担。</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第九条：工程处罚及仲裁</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1.工程合同工期拖延一天，按工程总造价的进行处罚，工期处罚待本工程竣工后一次结清。工期拖延超过天，甲方有权单方面解除合同，乙方需承担甲方相应损失并支付违约金。违约金不少于合同总价的%。</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 xml:space="preserve">    2.本合同在执行过程中发生合同纠纷，当事人双方应及时协商，协商不成时，任何一方均可申请向双方上级主管部门或建设主管部门进行调解，调解不成时可向工程所在地的仲裁委员会提请仲裁或者向工程所在地人民法院提起诉讼。</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第十条：合同的变更和解除</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1.合同经双方签字生效后，双方必须严格遵守。任何一方需变更合同内容，应经协商一致后，重新签订补充协议。</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2.如遇包含不限于下列情况之一，双方可协商终止合同，互不承担违约责任。</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（1）重大的自然灾害。如重大的地震、海啸、台风、海浪、洪水、蝗灾、风暴等。</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（2）重大的社会非正常事件。如战争、武装冲突、罢工、骚乱、暴动等。</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（3）合同期间因市政建设需要拆迁、土地被收储等情形。</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b/>
          <w:kern w:val="10"/>
          <w:sz w:val="28"/>
          <w:szCs w:val="28"/>
        </w:rPr>
      </w:pPr>
      <w:r>
        <w:rPr>
          <w:rFonts w:hint="eastAsia" w:ascii="宋体" w:hAnsi="宋体" w:eastAsia="宋体" w:cs="宋体"/>
          <w:b/>
          <w:kern w:val="10"/>
          <w:sz w:val="28"/>
          <w:szCs w:val="28"/>
        </w:rPr>
        <w:t>第十一条：附则</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1.本合同未尽事宜，双方及时协商增补条款，补充条款与本合同具有同等法律效力。</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2.本合同一式</w:t>
      </w:r>
      <w:r>
        <w:rPr>
          <w:rFonts w:hint="eastAsia" w:ascii="宋体" w:hAnsi="宋体" w:eastAsia="宋体" w:cs="宋体"/>
          <w:kern w:val="10"/>
          <w:sz w:val="28"/>
          <w:szCs w:val="28"/>
          <w:u w:val="single"/>
        </w:rPr>
        <w:t>肆</w:t>
      </w:r>
      <w:r>
        <w:rPr>
          <w:rFonts w:hint="eastAsia" w:ascii="宋体" w:hAnsi="宋体" w:eastAsia="宋体" w:cs="宋体"/>
          <w:kern w:val="10"/>
          <w:sz w:val="28"/>
          <w:szCs w:val="28"/>
        </w:rPr>
        <w:t>份，双方各执</w:t>
      </w:r>
      <w:r>
        <w:rPr>
          <w:rFonts w:hint="eastAsia" w:ascii="宋体" w:hAnsi="宋体" w:eastAsia="宋体" w:cs="宋体"/>
          <w:kern w:val="10"/>
          <w:sz w:val="28"/>
          <w:szCs w:val="28"/>
          <w:u w:val="single"/>
        </w:rPr>
        <w:t>贰</w:t>
      </w:r>
      <w:r>
        <w:rPr>
          <w:rFonts w:hint="eastAsia" w:ascii="宋体" w:hAnsi="宋体" w:eastAsia="宋体" w:cs="宋体"/>
          <w:kern w:val="10"/>
          <w:sz w:val="28"/>
          <w:szCs w:val="28"/>
        </w:rPr>
        <w:t>份。</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3.本合同经双方签字盖章后生效，工程竣工验收交付后保修期满、工程价款结清自动终止。</w:t>
      </w:r>
    </w:p>
    <w:p>
      <w:pPr>
        <w:keepNext w:val="0"/>
        <w:keepLines w:val="0"/>
        <w:pageBreakBefore w:val="0"/>
        <w:widowControl w:val="0"/>
        <w:kinsoku/>
        <w:wordWrap/>
        <w:overflowPunct/>
        <w:topLinePunct w:val="0"/>
        <w:autoSpaceDE/>
        <w:autoSpaceDN/>
        <w:bidi w:val="0"/>
        <w:adjustRightInd/>
        <w:snapToGrid/>
        <w:spacing w:after="80" w:line="479" w:lineRule="exact"/>
        <w:ind w:firstLine="560" w:firstLineChars="200"/>
        <w:jc w:val="both"/>
        <w:textAlignment w:val="auto"/>
        <w:rPr>
          <w:rFonts w:hint="eastAsia" w:ascii="宋体" w:hAnsi="宋体" w:eastAsia="宋体" w:cs="宋体"/>
          <w:kern w:val="10"/>
          <w:sz w:val="28"/>
          <w:szCs w:val="28"/>
        </w:rPr>
      </w:pP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甲方（盖章）：                   乙方（盖章）：</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法定代表人或授权代表：       法定代表人或授权代表：</w:t>
      </w: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p>
    <w:p>
      <w:pPr>
        <w:keepNext w:val="0"/>
        <w:keepLines w:val="0"/>
        <w:pageBreakBefore w:val="0"/>
        <w:widowControl w:val="0"/>
        <w:kinsoku/>
        <w:wordWrap/>
        <w:overflowPunct/>
        <w:topLinePunct w:val="0"/>
        <w:autoSpaceDE/>
        <w:autoSpaceDN/>
        <w:bidi w:val="0"/>
        <w:adjustRightInd/>
        <w:snapToGrid/>
        <w:spacing w:after="80" w:line="479" w:lineRule="exact"/>
        <w:jc w:val="both"/>
        <w:textAlignment w:val="auto"/>
        <w:rPr>
          <w:rFonts w:hint="eastAsia" w:ascii="宋体" w:hAnsi="宋体" w:eastAsia="宋体" w:cs="宋体"/>
          <w:kern w:val="10"/>
          <w:sz w:val="28"/>
          <w:szCs w:val="28"/>
        </w:rPr>
      </w:pPr>
      <w:r>
        <w:rPr>
          <w:rFonts w:hint="eastAsia" w:ascii="宋体" w:hAnsi="宋体" w:eastAsia="宋体" w:cs="宋体"/>
          <w:kern w:val="10"/>
          <w:sz w:val="28"/>
          <w:szCs w:val="28"/>
        </w:rPr>
        <w:t>电话：                         电话：</w:t>
      </w:r>
    </w:p>
    <w:p>
      <w:pPr>
        <w:keepNext w:val="0"/>
        <w:keepLines w:val="0"/>
        <w:pageBreakBefore w:val="0"/>
        <w:kinsoku/>
        <w:wordWrap/>
        <w:overflowPunct/>
        <w:topLinePunct w:val="0"/>
        <w:autoSpaceDE/>
        <w:autoSpaceDN/>
        <w:bidi w:val="0"/>
        <w:spacing w:after="80" w:line="479" w:lineRule="exact"/>
        <w:textAlignment w:val="auto"/>
        <w:rPr>
          <w:rFonts w:hint="eastAsia" w:ascii="宋体" w:hAnsi="宋体" w:eastAsia="宋体" w:cs="宋体"/>
          <w:kern w:val="10"/>
          <w:sz w:val="28"/>
          <w:szCs w:val="28"/>
        </w:rPr>
      </w:pPr>
    </w:p>
    <w:p>
      <w:pPr>
        <w:keepNext w:val="0"/>
        <w:keepLines w:val="0"/>
        <w:pageBreakBefore w:val="0"/>
        <w:kinsoku/>
        <w:wordWrap/>
        <w:overflowPunct/>
        <w:topLinePunct w:val="0"/>
        <w:autoSpaceDE/>
        <w:autoSpaceDN/>
        <w:bidi w:val="0"/>
        <w:spacing w:after="80" w:line="479" w:lineRule="exact"/>
        <w:jc w:val="right"/>
        <w:textAlignment w:val="auto"/>
        <w:rPr>
          <w:rFonts w:hint="eastAsia" w:ascii="宋体" w:hAnsi="宋体" w:eastAsia="宋体" w:cs="宋体"/>
          <w:kern w:val="10"/>
          <w:sz w:val="28"/>
          <w:szCs w:val="28"/>
        </w:rPr>
      </w:pPr>
      <w:r>
        <w:rPr>
          <w:rFonts w:hint="eastAsia" w:ascii="宋体" w:hAnsi="宋体" w:eastAsia="宋体" w:cs="宋体"/>
          <w:kern w:val="10"/>
          <w:sz w:val="28"/>
          <w:szCs w:val="28"/>
        </w:rPr>
        <w:t>签订日期：     年  月  日</w:t>
      </w:r>
    </w:p>
    <w:p>
      <w:pPr>
        <w:pStyle w:val="9"/>
        <w:ind w:left="440" w:firstLine="640"/>
        <w:rPr>
          <w:rFonts w:ascii="仿宋_GB2312" w:hAnsi="仿宋_GB2312" w:eastAsia="仿宋_GB2312" w:cs="仿宋_GB2312"/>
          <w:kern w:val="10"/>
          <w:sz w:val="32"/>
          <w:szCs w:val="32"/>
        </w:rPr>
      </w:pPr>
    </w:p>
    <w:p>
      <w:pPr>
        <w:widowControl w:val="0"/>
        <w:adjustRightInd/>
        <w:snapToGrid/>
        <w:spacing w:line="579" w:lineRule="exact"/>
        <w:jc w:val="both"/>
        <w:rPr>
          <w:rFonts w:ascii="仿宋_GB2312" w:hAnsi="仿宋_GB2312" w:eastAsia="仿宋_GB2312" w:cs="仿宋_GB2312"/>
          <w:b/>
          <w:bCs/>
          <w:kern w:val="10"/>
          <w:sz w:val="24"/>
          <w:szCs w:val="24"/>
        </w:rPr>
      </w:pPr>
    </w:p>
    <w:p>
      <w:pPr>
        <w:widowControl w:val="0"/>
        <w:adjustRightInd/>
        <w:snapToGrid/>
        <w:spacing w:line="579" w:lineRule="exact"/>
        <w:jc w:val="both"/>
        <w:rPr>
          <w:rFonts w:hint="eastAsia" w:ascii="仿宋_GB2312" w:hAnsi="仿宋_GB2312" w:eastAsia="仿宋_GB2312" w:cs="仿宋_GB2312"/>
          <w:b/>
          <w:bCs/>
          <w:kern w:val="10"/>
          <w:sz w:val="24"/>
          <w:szCs w:val="24"/>
        </w:rPr>
      </w:pPr>
    </w:p>
    <w:p>
      <w:pPr>
        <w:widowControl w:val="0"/>
        <w:adjustRightInd/>
        <w:snapToGrid/>
        <w:spacing w:line="579" w:lineRule="exact"/>
        <w:jc w:val="both"/>
        <w:rPr>
          <w:rFonts w:ascii="仿宋_GB2312" w:hAnsi="仿宋_GB2312" w:eastAsia="仿宋_GB2312" w:cs="仿宋_GB2312"/>
          <w:b/>
          <w:bCs/>
          <w:kern w:val="10"/>
          <w:sz w:val="24"/>
          <w:szCs w:val="24"/>
        </w:rPr>
      </w:pPr>
      <w:r>
        <w:rPr>
          <w:rFonts w:hint="eastAsia" w:ascii="仿宋_GB2312" w:hAnsi="仿宋_GB2312" w:eastAsia="仿宋_GB2312" w:cs="仿宋_GB2312"/>
          <w:b/>
          <w:bCs/>
          <w:kern w:val="10"/>
          <w:sz w:val="24"/>
          <w:szCs w:val="24"/>
        </w:rPr>
        <w:t>甲方备注：根据项目内容，合同甲方为福建省盐业集团有限责任公司/福建闽盐食品科技有限公司两家，将分别与合作方签订合同、结算。</w:t>
      </w:r>
    </w:p>
    <w:p>
      <w:pPr>
        <w:pStyle w:val="9"/>
        <w:ind w:left="440" w:firstLine="643"/>
        <w:rPr>
          <w:rFonts w:ascii="仿宋_GB2312" w:hAnsi="仿宋_GB2312" w:eastAsia="仿宋_GB2312" w:cs="仿宋_GB2312"/>
          <w:b/>
          <w:bCs/>
          <w:kern w:val="10"/>
          <w:sz w:val="32"/>
          <w:szCs w:val="32"/>
        </w:rPr>
      </w:pPr>
    </w:p>
    <w:sectPr>
      <w:pgSz w:w="11906" w:h="16838"/>
      <w:pgMar w:top="1135" w:right="1800" w:bottom="963" w:left="15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F9BC97"/>
    <w:multiLevelType w:val="singleLevel"/>
    <w:tmpl w:val="9EF9BC97"/>
    <w:lvl w:ilvl="0" w:tentative="0">
      <w:start w:val="3"/>
      <w:numFmt w:val="decimal"/>
      <w:suff w:val="space"/>
      <w:lvlText w:val="%1."/>
      <w:lvlJc w:val="left"/>
    </w:lvl>
  </w:abstractNum>
  <w:abstractNum w:abstractNumId="1">
    <w:nsid w:val="6510D09E"/>
    <w:multiLevelType w:val="singleLevel"/>
    <w:tmpl w:val="6510D09E"/>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TJlZjZiMDg3Mzc5MWFmZmE5ZjA3NjRmODhmNzUxMjkifQ=="/>
  </w:docVars>
  <w:rsids>
    <w:rsidRoot w:val="00D31D50"/>
    <w:rsid w:val="000A7FB0"/>
    <w:rsid w:val="002319AB"/>
    <w:rsid w:val="00323B43"/>
    <w:rsid w:val="003D37D8"/>
    <w:rsid w:val="003F3D77"/>
    <w:rsid w:val="00426133"/>
    <w:rsid w:val="004358AB"/>
    <w:rsid w:val="008B7726"/>
    <w:rsid w:val="00B35797"/>
    <w:rsid w:val="00BC785A"/>
    <w:rsid w:val="00CF0775"/>
    <w:rsid w:val="00D31D50"/>
    <w:rsid w:val="00E3740B"/>
    <w:rsid w:val="00FB13E3"/>
    <w:rsid w:val="00FD12F5"/>
    <w:rsid w:val="04FE6B2C"/>
    <w:rsid w:val="057D247A"/>
    <w:rsid w:val="08902087"/>
    <w:rsid w:val="08E04924"/>
    <w:rsid w:val="13D35540"/>
    <w:rsid w:val="165506A2"/>
    <w:rsid w:val="183B3351"/>
    <w:rsid w:val="19D42720"/>
    <w:rsid w:val="1A7D2962"/>
    <w:rsid w:val="1ADE3C68"/>
    <w:rsid w:val="1B966EEF"/>
    <w:rsid w:val="1E1364F7"/>
    <w:rsid w:val="27315D1D"/>
    <w:rsid w:val="273F7D25"/>
    <w:rsid w:val="27710810"/>
    <w:rsid w:val="2917644D"/>
    <w:rsid w:val="29361D11"/>
    <w:rsid w:val="2B695FCF"/>
    <w:rsid w:val="2C6D001F"/>
    <w:rsid w:val="2E1F50A2"/>
    <w:rsid w:val="35CA4769"/>
    <w:rsid w:val="366946C9"/>
    <w:rsid w:val="369B76C9"/>
    <w:rsid w:val="37D6340B"/>
    <w:rsid w:val="3E7A5265"/>
    <w:rsid w:val="48902DC0"/>
    <w:rsid w:val="4ACF45B0"/>
    <w:rsid w:val="4C3E302C"/>
    <w:rsid w:val="5180174C"/>
    <w:rsid w:val="57E270A6"/>
    <w:rsid w:val="58400CE7"/>
    <w:rsid w:val="5CE44128"/>
    <w:rsid w:val="5D1C25A9"/>
    <w:rsid w:val="67AA7FC3"/>
    <w:rsid w:val="6D020CFA"/>
    <w:rsid w:val="70DE6710"/>
    <w:rsid w:val="75994E4F"/>
    <w:rsid w:val="7D9B72D8"/>
    <w:rsid w:val="7DA45B1B"/>
    <w:rsid w:val="7FE949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99"/>
    <w:pPr>
      <w:keepNext/>
      <w:keepLines/>
      <w:spacing w:before="340" w:after="330" w:line="578" w:lineRule="auto"/>
      <w:jc w:val="center"/>
      <w:outlineLvl w:val="0"/>
    </w:pPr>
    <w:rPr>
      <w:rFonts w:ascii="Calibri" w:hAnsi="Calibri"/>
      <w:b/>
      <w:bCs/>
      <w:kern w:val="44"/>
      <w:sz w:val="44"/>
      <w:szCs w:val="44"/>
    </w:rPr>
  </w:style>
  <w:style w:type="paragraph" w:styleId="3">
    <w:name w:val="heading 2"/>
    <w:basedOn w:val="1"/>
    <w:next w:val="1"/>
    <w:qFormat/>
    <w:uiPriority w:val="99"/>
    <w:pPr>
      <w:keepNext/>
      <w:keepLines/>
      <w:spacing w:before="260" w:after="260" w:line="413" w:lineRule="auto"/>
      <w:outlineLvl w:val="1"/>
    </w:pPr>
    <w:rPr>
      <w:rFonts w:ascii="Arial" w:hAnsi="Arial" w:eastAsia="黑体"/>
      <w:b/>
      <w:sz w:val="32"/>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next w:val="1"/>
    <w:qFormat/>
    <w:uiPriority w:val="99"/>
    <w:pPr>
      <w:spacing w:after="120"/>
    </w:pPr>
  </w:style>
  <w:style w:type="paragraph" w:styleId="5">
    <w:name w:val="Body Text Indent"/>
    <w:basedOn w:val="1"/>
    <w:next w:val="1"/>
    <w:qFormat/>
    <w:uiPriority w:val="0"/>
    <w:pPr>
      <w:spacing w:after="120"/>
      <w:ind w:left="200" w:leftChars="200"/>
    </w:pPr>
  </w:style>
  <w:style w:type="paragraph" w:styleId="6">
    <w:name w:val="Plain Text"/>
    <w:basedOn w:val="1"/>
    <w:qFormat/>
    <w:uiPriority w:val="0"/>
    <w:rPr>
      <w:rFonts w:ascii="宋体" w:hAnsi="Courier New" w:cs="Courier New"/>
      <w:snapToGrid w:val="0"/>
      <w:color w:val="000000"/>
      <w:szCs w:val="21"/>
    </w:rPr>
  </w:style>
  <w:style w:type="paragraph" w:styleId="7">
    <w:name w:val="footer"/>
    <w:basedOn w:val="1"/>
    <w:qFormat/>
    <w:uiPriority w:val="0"/>
    <w:pPr>
      <w:tabs>
        <w:tab w:val="center" w:pos="4153"/>
        <w:tab w:val="right" w:pos="8306"/>
      </w:tabs>
    </w:pPr>
    <w:rPr>
      <w:sz w:val="18"/>
      <w:szCs w:val="18"/>
    </w:rPr>
  </w:style>
  <w:style w:type="paragraph" w:styleId="8">
    <w:name w:val="header"/>
    <w:basedOn w:val="1"/>
    <w:qFormat/>
    <w:uiPriority w:val="0"/>
    <w:pPr>
      <w:pBdr>
        <w:bottom w:val="single" w:color="auto" w:sz="6" w:space="1"/>
      </w:pBdr>
      <w:tabs>
        <w:tab w:val="center" w:pos="4153"/>
        <w:tab w:val="right" w:pos="8306"/>
      </w:tabs>
      <w:jc w:val="center"/>
    </w:pPr>
    <w:rPr>
      <w:sz w:val="18"/>
      <w:szCs w:val="18"/>
    </w:rPr>
  </w:style>
  <w:style w:type="paragraph" w:styleId="9">
    <w:name w:val="Body Text First Indent 2"/>
    <w:basedOn w:val="5"/>
    <w:qFormat/>
    <w:uiPriority w:val="0"/>
    <w:pPr>
      <w:ind w:firstLine="420" w:firstLineChars="200"/>
    </w:pPr>
  </w:style>
  <w:style w:type="character" w:styleId="12">
    <w:name w:val="Strong"/>
    <w:basedOn w:val="11"/>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0B697-54A8-4262-A97D-14980AC28980}">
  <ds:schemaRefs/>
</ds:datastoreItem>
</file>

<file path=docProps/app.xml><?xml version="1.0" encoding="utf-8"?>
<Properties xmlns="http://schemas.openxmlformats.org/officeDocument/2006/extended-properties" xmlns:vt="http://schemas.openxmlformats.org/officeDocument/2006/docPropsVTypes">
  <Template>Normal</Template>
  <Pages>16</Pages>
  <Words>1094</Words>
  <Characters>6241</Characters>
  <Lines>52</Lines>
  <Paragraphs>14</Paragraphs>
  <TotalTime>0</TotalTime>
  <ScaleCrop>false</ScaleCrop>
  <LinksUpToDate>false</LinksUpToDate>
  <CharactersWithSpaces>7321</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2024-02-22T12:06:00Z</dcterms:created>
  <dc:creator>Administrator</dc:creator>
  <cp:lastModifiedBy>臆林</cp:lastModifiedBy>
  <cp:lastPrinted>2024-02-21T06:44:00Z</cp:lastPrinted>
  <dcterms:modified xsi:type="dcterms:W3CDTF">2024-02-23T08:19:54Z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9D6281F62F424BC3B038D75D84D578F7_12</vt:lpwstr>
  </property>
</Properties>
</file>