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ascii="方正小标宋简体" w:hAnsi="方正小标宋简体" w:eastAsia="方正小标宋简体" w:cs="方正小标宋简体"/>
          <w:color w:val="auto"/>
          <w:kern w:val="0"/>
          <w:sz w:val="40"/>
          <w:szCs w:val="40"/>
        </w:rPr>
      </w:pPr>
      <w:r>
        <w:rPr>
          <w:rFonts w:hint="eastAsia" w:ascii="方正小标宋简体" w:hAnsi="方正小标宋简体" w:eastAsia="方正小标宋简体" w:cs="方正小标宋简体"/>
          <w:color w:val="auto"/>
          <w:kern w:val="0"/>
          <w:sz w:val="40"/>
          <w:szCs w:val="40"/>
        </w:rPr>
        <w:t>关于南平市延平区</w:t>
      </w:r>
      <w:r>
        <w:rPr>
          <w:rFonts w:hint="eastAsia" w:ascii="方正小标宋简体" w:hAnsi="方正小标宋简体" w:eastAsia="方正小标宋简体" w:cs="方正小标宋简体"/>
          <w:color w:val="auto"/>
          <w:kern w:val="0"/>
          <w:sz w:val="40"/>
          <w:szCs w:val="40"/>
          <w:lang w:eastAsia="zh-CN"/>
        </w:rPr>
        <w:t>大同里</w:t>
      </w:r>
      <w:r>
        <w:rPr>
          <w:rFonts w:hint="eastAsia" w:ascii="方正小标宋简体" w:hAnsi="方正小标宋简体" w:eastAsia="方正小标宋简体" w:cs="方正小标宋简体"/>
          <w:color w:val="auto"/>
          <w:kern w:val="0"/>
          <w:sz w:val="40"/>
          <w:szCs w:val="40"/>
          <w:lang w:val="en-US" w:eastAsia="zh-CN"/>
        </w:rPr>
        <w:t>2号</w:t>
      </w:r>
      <w:r>
        <w:rPr>
          <w:rFonts w:hint="eastAsia" w:ascii="方正小标宋简体" w:hAnsi="方正小标宋简体" w:eastAsia="方正小标宋简体" w:cs="方正小标宋简体"/>
          <w:color w:val="auto"/>
          <w:kern w:val="0"/>
          <w:sz w:val="40"/>
          <w:szCs w:val="40"/>
        </w:rPr>
        <w:t>对外租赁方案</w:t>
      </w:r>
    </w:p>
    <w:p>
      <w:pPr>
        <w:tabs>
          <w:tab w:val="left" w:pos="1800"/>
        </w:tabs>
        <w:spacing w:line="579" w:lineRule="exact"/>
        <w:rPr>
          <w:rFonts w:ascii="仿宋_GB2312" w:eastAsia="仿宋_GB2312"/>
          <w:color w:val="FF0000"/>
          <w:sz w:val="32"/>
          <w:szCs w:val="32"/>
        </w:rPr>
      </w:pPr>
    </w:p>
    <w:p>
      <w:pPr>
        <w:numPr>
          <w:ilvl w:val="0"/>
          <w:numId w:val="1"/>
        </w:numPr>
        <w:spacing w:line="579" w:lineRule="exact"/>
        <w:ind w:firstLine="640"/>
        <w:rPr>
          <w:rFonts w:ascii="黑体" w:hAnsi="黑体" w:eastAsia="黑体" w:cs="黑体"/>
          <w:kern w:val="0"/>
          <w:sz w:val="32"/>
          <w:szCs w:val="32"/>
        </w:rPr>
      </w:pPr>
      <w:r>
        <w:rPr>
          <w:rFonts w:hint="eastAsia" w:ascii="黑体" w:hAnsi="黑体" w:eastAsia="黑体" w:cs="黑体"/>
          <w:kern w:val="0"/>
          <w:sz w:val="32"/>
          <w:szCs w:val="32"/>
        </w:rPr>
        <w:t>租赁资产的产权状况、实物现状、资产明细的基本情况</w:t>
      </w:r>
    </w:p>
    <w:p>
      <w:pPr>
        <w:spacing w:line="360" w:lineRule="auto"/>
        <w:ind w:firstLine="640" w:firstLineChars="200"/>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rPr>
        <w:t>租赁标的为福建省南平盐业有限责任公司所持有的房产，地址位于南平市延平区</w:t>
      </w:r>
      <w:r>
        <w:rPr>
          <w:rFonts w:hint="eastAsia" w:ascii="仿宋_GB2312" w:hAnsi="宋体" w:eastAsia="仿宋_GB2312" w:cs="宋体"/>
          <w:color w:val="auto"/>
          <w:kern w:val="0"/>
          <w:sz w:val="32"/>
          <w:szCs w:val="32"/>
          <w:lang w:eastAsia="zh-CN"/>
        </w:rPr>
        <w:t>大同里</w:t>
      </w:r>
      <w:r>
        <w:rPr>
          <w:rFonts w:hint="eastAsia" w:ascii="仿宋_GB2312" w:hAnsi="宋体" w:eastAsia="仿宋_GB2312" w:cs="宋体"/>
          <w:color w:val="auto"/>
          <w:kern w:val="0"/>
          <w:sz w:val="32"/>
          <w:szCs w:val="32"/>
          <w:lang w:val="en-US" w:eastAsia="zh-CN"/>
        </w:rPr>
        <w:t>2号房产</w:t>
      </w:r>
      <w:r>
        <w:rPr>
          <w:rFonts w:hint="eastAsia" w:ascii="仿宋_GB2312" w:hAnsi="宋体" w:eastAsia="仿宋_GB2312" w:cs="宋体"/>
          <w:color w:val="auto"/>
          <w:kern w:val="0"/>
          <w:sz w:val="32"/>
          <w:szCs w:val="32"/>
        </w:rPr>
        <w:t>（产权证号：南房权证字第201404193号，产权面积</w:t>
      </w:r>
      <w:r>
        <w:rPr>
          <w:rFonts w:hint="eastAsia" w:ascii="仿宋_GB2312" w:hAnsi="宋体" w:eastAsia="仿宋_GB2312" w:cs="宋体"/>
          <w:color w:val="auto"/>
          <w:kern w:val="0"/>
          <w:sz w:val="32"/>
          <w:szCs w:val="32"/>
          <w:lang w:val="en-US" w:eastAsia="zh-CN"/>
        </w:rPr>
        <w:t>523.93</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此次租赁</w:t>
      </w:r>
      <w:r>
        <w:rPr>
          <w:rFonts w:hint="eastAsia" w:ascii="仿宋_GB2312" w:hAnsi="宋体" w:eastAsia="仿宋_GB2312" w:cs="宋体"/>
          <w:color w:val="auto"/>
          <w:kern w:val="0"/>
          <w:sz w:val="32"/>
          <w:szCs w:val="32"/>
          <w:lang w:eastAsia="zh-CN"/>
        </w:rPr>
        <w:t>面积</w:t>
      </w:r>
      <w:r>
        <w:rPr>
          <w:rFonts w:hint="eastAsia" w:ascii="仿宋_GB2312" w:hAnsi="宋体" w:eastAsia="仿宋_GB2312" w:cs="宋体"/>
          <w:color w:val="auto"/>
          <w:kern w:val="0"/>
          <w:sz w:val="32"/>
          <w:szCs w:val="32"/>
          <w:lang w:val="en-US" w:eastAsia="zh-CN"/>
        </w:rPr>
        <w:t>523.93㎡。</w:t>
      </w:r>
    </w:p>
    <w:p>
      <w:pPr>
        <w:spacing w:line="360" w:lineRule="auto"/>
        <w:rPr>
          <w:rFonts w:hint="default"/>
          <w:lang w:val="en-US" w:eastAsia="zh-CN"/>
        </w:rPr>
      </w:pP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备注：具体面积以实际看样为准，租金不再因</w:t>
      </w:r>
      <w:r>
        <w:rPr>
          <w:rFonts w:hint="eastAsia" w:ascii="仿宋" w:hAnsi="仿宋" w:eastAsia="仿宋" w:cs="仿宋"/>
          <w:color w:val="auto"/>
          <w:sz w:val="32"/>
          <w:szCs w:val="32"/>
        </w:rPr>
        <w:t>现场实际测量面积而更改</w:t>
      </w:r>
      <w:r>
        <w:rPr>
          <w:rFonts w:hint="eastAsia" w:ascii="仿宋_GB2312" w:hAnsi="宋体" w:eastAsia="仿宋_GB2312" w:cs="宋体"/>
          <w:color w:val="auto"/>
          <w:kern w:val="0"/>
          <w:sz w:val="32"/>
          <w:szCs w:val="32"/>
          <w:lang w:eastAsia="zh-CN"/>
        </w:rPr>
        <w:t>）</w:t>
      </w:r>
      <w:r>
        <w:rPr>
          <w:rFonts w:hint="eastAsia" w:ascii="仿宋" w:hAnsi="仿宋" w:eastAsia="仿宋" w:cs="仿宋"/>
          <w:color w:val="auto"/>
          <w:sz w:val="32"/>
          <w:szCs w:val="32"/>
        </w:rPr>
        <w:t>。</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二、租赁目的及可行性、租赁用途、租赁期限</w:t>
      </w:r>
    </w:p>
    <w:p>
      <w:pPr>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1.租赁目的及可行性：为稳住公司租赁效益，我司拟将</w:t>
      </w:r>
      <w:r>
        <w:rPr>
          <w:rFonts w:hint="eastAsia" w:ascii="仿宋_GB2312" w:hAnsi="宋体" w:eastAsia="仿宋_GB2312" w:cs="宋体"/>
          <w:color w:val="auto"/>
          <w:kern w:val="0"/>
          <w:sz w:val="32"/>
          <w:szCs w:val="32"/>
        </w:rPr>
        <w:t>南平市延平区</w:t>
      </w:r>
      <w:r>
        <w:rPr>
          <w:rFonts w:hint="eastAsia" w:ascii="仿宋_GB2312" w:hAnsi="宋体" w:eastAsia="仿宋_GB2312" w:cs="宋体"/>
          <w:color w:val="auto"/>
          <w:kern w:val="0"/>
          <w:sz w:val="32"/>
          <w:szCs w:val="32"/>
          <w:lang w:eastAsia="zh-CN"/>
        </w:rPr>
        <w:t>大同里</w:t>
      </w:r>
      <w:r>
        <w:rPr>
          <w:rFonts w:hint="eastAsia" w:ascii="仿宋_GB2312" w:hAnsi="宋体" w:eastAsia="仿宋_GB2312" w:cs="宋体"/>
          <w:color w:val="auto"/>
          <w:kern w:val="0"/>
          <w:sz w:val="32"/>
          <w:szCs w:val="32"/>
          <w:lang w:val="en-US" w:eastAsia="zh-CN"/>
        </w:rPr>
        <w:t>2号</w:t>
      </w:r>
      <w:r>
        <w:rPr>
          <w:rFonts w:hint="eastAsia" w:ascii="仿宋_GB2312" w:hAnsi="宋体" w:eastAsia="仿宋_GB2312" w:cs="宋体"/>
          <w:color w:val="auto"/>
          <w:kern w:val="0"/>
          <w:sz w:val="32"/>
          <w:szCs w:val="32"/>
        </w:rPr>
        <w:t>公开</w:t>
      </w:r>
      <w:r>
        <w:rPr>
          <w:rFonts w:hint="eastAsia" w:ascii="仿宋_GB2312" w:hAnsi="仿宋_GB2312" w:eastAsia="仿宋_GB2312" w:cs="仿宋_GB2312"/>
          <w:color w:val="auto"/>
          <w:kern w:val="0"/>
          <w:sz w:val="32"/>
          <w:szCs w:val="32"/>
        </w:rPr>
        <w:t>对外租赁。</w:t>
      </w:r>
    </w:p>
    <w:p>
      <w:pPr>
        <w:spacing w:line="579" w:lineRule="exact"/>
        <w:ind w:firstLine="640" w:firstLineChars="20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2.租赁用途：</w:t>
      </w:r>
      <w:r>
        <w:rPr>
          <w:rFonts w:hint="eastAsia" w:ascii="仿宋_GB2312" w:hAnsi="仿宋_GB2312" w:eastAsia="仿宋_GB2312" w:cs="仿宋_GB2312"/>
          <w:color w:val="auto"/>
          <w:kern w:val="0"/>
          <w:sz w:val="32"/>
          <w:szCs w:val="32"/>
          <w:lang w:eastAsia="zh-CN"/>
        </w:rPr>
        <w:t>城镇住宅用地（房屋如用于其他用途或经营方式须由承租方自行办理相关审批手续。但均不得用于易燃易爆、危险品、有毒化工、腐蚀性化工、加工工厂类生产经营、存储及法律法规不允许的行业。）承租方使用房屋时，应遵守国家法律、法规，不得用于从事违法、犯罪等活动。</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3.租赁期限：三年（自租赁标的交付之日起算）。</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三、租赁底价及确定依据，装修免租期、租金支付方式、租金递增率、履约保证金以及竞租方式。</w:t>
      </w:r>
    </w:p>
    <w:p>
      <w:pPr>
        <w:adjustRightInd w:val="0"/>
        <w:snapToGrid w:val="0"/>
        <w:spacing w:line="560"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1.租赁底价及确定依据：为了夯实市场租赁价格，我司通过组织工作人员对</w:t>
      </w:r>
      <w:r>
        <w:rPr>
          <w:rFonts w:hint="eastAsia" w:ascii="仿宋_GB2312" w:hAnsi="宋体" w:eastAsia="仿宋_GB2312" w:cs="宋体"/>
          <w:color w:val="auto"/>
          <w:kern w:val="0"/>
          <w:sz w:val="32"/>
          <w:szCs w:val="32"/>
        </w:rPr>
        <w:t>南平市延平区</w:t>
      </w:r>
      <w:r>
        <w:rPr>
          <w:rFonts w:hint="eastAsia" w:ascii="仿宋_GB2312" w:hAnsi="宋体" w:eastAsia="仿宋_GB2312" w:cs="宋体"/>
          <w:color w:val="auto"/>
          <w:kern w:val="0"/>
          <w:sz w:val="32"/>
          <w:szCs w:val="32"/>
          <w:lang w:eastAsia="zh-CN"/>
        </w:rPr>
        <w:t>大同里</w:t>
      </w:r>
      <w:r>
        <w:rPr>
          <w:rFonts w:hint="eastAsia" w:ascii="仿宋_GB2312" w:hAnsi="宋体" w:eastAsia="仿宋_GB2312" w:cs="宋体"/>
          <w:color w:val="auto"/>
          <w:kern w:val="0"/>
          <w:sz w:val="32"/>
          <w:szCs w:val="32"/>
          <w:lang w:val="en-US" w:eastAsia="zh-CN"/>
        </w:rPr>
        <w:t>2号</w:t>
      </w:r>
      <w:r>
        <w:rPr>
          <w:rFonts w:hint="eastAsia" w:ascii="仿宋_GB2312" w:hAnsi="仿宋_GB2312" w:eastAsia="仿宋_GB2312" w:cs="仿宋_GB2312"/>
          <w:color w:val="auto"/>
          <w:kern w:val="0"/>
          <w:sz w:val="32"/>
          <w:szCs w:val="32"/>
        </w:rPr>
        <w:t>周边租赁市场进行调研，结合当地租赁市场实际情况，根据</w:t>
      </w:r>
      <w:r>
        <w:rPr>
          <w:rFonts w:hint="eastAsia" w:ascii="仿宋_GB2312" w:hAnsi="宋体" w:eastAsia="仿宋_GB2312" w:cs="宋体"/>
          <w:color w:val="auto"/>
          <w:kern w:val="0"/>
          <w:sz w:val="32"/>
          <w:szCs w:val="32"/>
        </w:rPr>
        <w:t>南平市延平区</w:t>
      </w:r>
      <w:r>
        <w:rPr>
          <w:rFonts w:hint="eastAsia" w:ascii="仿宋_GB2312" w:hAnsi="宋体" w:eastAsia="仿宋_GB2312" w:cs="宋体"/>
          <w:color w:val="auto"/>
          <w:kern w:val="0"/>
          <w:sz w:val="32"/>
          <w:szCs w:val="32"/>
          <w:lang w:eastAsia="zh-CN"/>
        </w:rPr>
        <w:t>大同里</w:t>
      </w:r>
      <w:r>
        <w:rPr>
          <w:rFonts w:hint="eastAsia" w:ascii="仿宋_GB2312" w:hAnsi="宋体" w:eastAsia="仿宋_GB2312" w:cs="宋体"/>
          <w:color w:val="auto"/>
          <w:kern w:val="0"/>
          <w:sz w:val="32"/>
          <w:szCs w:val="32"/>
          <w:lang w:val="en-US" w:eastAsia="zh-CN"/>
        </w:rPr>
        <w:t>2号</w:t>
      </w:r>
      <w:r>
        <w:rPr>
          <w:rFonts w:hint="eastAsia" w:ascii="仿宋_GB2312" w:hAnsi="宋体" w:eastAsia="仿宋_GB2312" w:cs="宋体"/>
          <w:color w:val="auto"/>
          <w:kern w:val="0"/>
          <w:sz w:val="32"/>
          <w:szCs w:val="32"/>
        </w:rPr>
        <w:t>对外租赁</w:t>
      </w:r>
      <w:r>
        <w:rPr>
          <w:rFonts w:hint="eastAsia" w:ascii="仿宋_GB2312" w:hAnsi="仿宋_GB2312" w:eastAsia="仿宋_GB2312" w:cs="仿宋_GB2312"/>
          <w:color w:val="auto"/>
          <w:kern w:val="0"/>
          <w:sz w:val="32"/>
          <w:szCs w:val="32"/>
        </w:rPr>
        <w:t>调研报告，最终确定的租赁底价（含税价）为：</w:t>
      </w:r>
      <w:r>
        <w:rPr>
          <w:rFonts w:hint="eastAsia" w:ascii="仿宋_GB2312" w:hAnsi="仿宋_GB2312" w:eastAsia="仿宋_GB2312" w:cs="仿宋_GB2312"/>
          <w:color w:val="auto"/>
          <w:kern w:val="0"/>
          <w:sz w:val="32"/>
          <w:szCs w:val="32"/>
          <w:lang w:val="en-US" w:eastAsia="zh-CN"/>
        </w:rPr>
        <w:t>20.61</w:t>
      </w:r>
      <w:r>
        <w:rPr>
          <w:rFonts w:hint="eastAsia" w:ascii="仿宋_GB2312" w:hAnsi="仿宋_GB2312" w:eastAsia="仿宋_GB2312" w:cs="仿宋_GB2312"/>
          <w:color w:val="auto"/>
          <w:kern w:val="0"/>
          <w:sz w:val="32"/>
          <w:szCs w:val="32"/>
        </w:rPr>
        <w:t>元/㎡/月(即</w:t>
      </w:r>
      <w:r>
        <w:rPr>
          <w:rFonts w:hint="eastAsia" w:ascii="仿宋_GB2312" w:hAnsi="仿宋_GB2312" w:eastAsia="仿宋_GB2312" w:cs="仿宋_GB2312"/>
          <w:color w:val="auto"/>
          <w:kern w:val="0"/>
          <w:sz w:val="32"/>
          <w:szCs w:val="32"/>
          <w:lang w:val="en-US" w:eastAsia="zh-CN"/>
        </w:rPr>
        <w:t>10798</w:t>
      </w:r>
      <w:r>
        <w:rPr>
          <w:rFonts w:hint="eastAsia" w:ascii="仿宋_GB2312" w:hAnsi="仿宋_GB2312" w:eastAsia="仿宋_GB2312" w:cs="仿宋_GB2312"/>
          <w:color w:val="auto"/>
          <w:kern w:val="0"/>
          <w:sz w:val="32"/>
          <w:szCs w:val="32"/>
        </w:rPr>
        <w:t>元/月)。</w:t>
      </w:r>
    </w:p>
    <w:p>
      <w:pPr>
        <w:adjustRightInd w:val="0"/>
        <w:snapToGrid w:val="0"/>
        <w:spacing w:line="560" w:lineRule="exact"/>
        <w:ind w:firstLine="640" w:firstLineChars="200"/>
        <w:rPr>
          <w:rFonts w:ascii="仿宋_GB2312" w:hAnsi="仿宋_GB2312" w:eastAsia="仿宋_GB2312" w:cs="宋体"/>
          <w:color w:val="auto"/>
          <w:kern w:val="1"/>
          <w:sz w:val="32"/>
          <w:szCs w:val="32"/>
        </w:rPr>
      </w:pPr>
      <w:r>
        <w:rPr>
          <w:rFonts w:hint="eastAsia" w:ascii="仿宋_GB2312" w:hAnsi="仿宋_GB2312" w:eastAsia="仿宋_GB2312" w:cs="仿宋_GB2312"/>
          <w:color w:val="auto"/>
          <w:kern w:val="0"/>
          <w:sz w:val="32"/>
          <w:szCs w:val="32"/>
        </w:rPr>
        <w:t>2. 租金支付方式：</w:t>
      </w:r>
      <w:r>
        <w:rPr>
          <w:rFonts w:hint="eastAsia" w:ascii="仿宋_GB2312" w:hAnsi="仿宋_GB2312" w:eastAsia="仿宋_GB2312" w:cs="仿宋_GB2312"/>
          <w:color w:val="auto"/>
          <w:sz w:val="32"/>
          <w:szCs w:val="32"/>
        </w:rPr>
        <w:t>租金以转账方式按照合同约定准时缴纳到出租方指定账户。每</w:t>
      </w: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个月为一期支付一次租金</w:t>
      </w:r>
      <w:r>
        <w:rPr>
          <w:rFonts w:hint="eastAsia" w:ascii="仿宋_GB2312" w:hAnsi="仿宋_GB2312" w:eastAsia="仿宋_GB2312" w:cs="仿宋_GB2312"/>
          <w:color w:val="auto"/>
          <w:kern w:val="0"/>
          <w:sz w:val="32"/>
          <w:szCs w:val="32"/>
        </w:rPr>
        <w:t>（先交后用）</w:t>
      </w:r>
      <w:r>
        <w:rPr>
          <w:rFonts w:hint="eastAsia" w:ascii="仿宋_GB2312" w:hAnsi="仿宋_GB2312" w:eastAsia="仿宋_GB2312" w:cs="仿宋_GB2312"/>
          <w:color w:val="auto"/>
          <w:sz w:val="32"/>
          <w:szCs w:val="32"/>
          <w:shd w:val="clear" w:color="auto" w:fill="FFFFFF"/>
        </w:rPr>
        <w:t>，</w:t>
      </w:r>
      <w:r>
        <w:rPr>
          <w:rFonts w:hint="eastAsia" w:ascii="仿宋_GB2312" w:hAnsi="仿宋_GB2312" w:eastAsia="仿宋_GB2312" w:cs="仿宋_GB2312"/>
          <w:color w:val="auto"/>
          <w:kern w:val="0"/>
          <w:sz w:val="32"/>
          <w:szCs w:val="32"/>
        </w:rPr>
        <w:t>签订《房屋租赁合同》当日即付首期</w:t>
      </w:r>
      <w:r>
        <w:rPr>
          <w:rFonts w:hint="eastAsia" w:ascii="仿宋_GB2312" w:hAnsi="仿宋_GB2312" w:eastAsia="仿宋_GB2312" w:cs="仿宋_GB2312"/>
          <w:color w:val="auto"/>
          <w:kern w:val="0"/>
          <w:sz w:val="32"/>
          <w:szCs w:val="32"/>
          <w:lang w:eastAsia="zh-CN"/>
        </w:rPr>
        <w:t>三</w:t>
      </w:r>
      <w:r>
        <w:rPr>
          <w:rFonts w:hint="eastAsia" w:ascii="仿宋_GB2312" w:hAnsi="仿宋_GB2312" w:eastAsia="仿宋_GB2312" w:cs="仿宋_GB2312"/>
          <w:color w:val="auto"/>
          <w:kern w:val="0"/>
          <w:sz w:val="32"/>
          <w:szCs w:val="32"/>
        </w:rPr>
        <w:t>个月的租金，</w:t>
      </w:r>
      <w:r>
        <w:rPr>
          <w:rFonts w:ascii="仿宋_GB2312" w:hAnsi="仿宋_GB2312" w:eastAsia="仿宋_GB2312" w:cs="宋体"/>
          <w:color w:val="auto"/>
          <w:kern w:val="1"/>
          <w:sz w:val="32"/>
          <w:szCs w:val="32"/>
        </w:rPr>
        <w:t>后续每期结束前的</w:t>
      </w:r>
      <w:r>
        <w:rPr>
          <w:rFonts w:hint="eastAsia" w:ascii="仿宋_GB2312" w:hAnsi="仿宋_GB2312" w:eastAsia="仿宋_GB2312" w:cs="宋体"/>
          <w:color w:val="auto"/>
          <w:kern w:val="1"/>
          <w:sz w:val="32"/>
          <w:szCs w:val="32"/>
        </w:rPr>
        <w:t>5</w:t>
      </w:r>
      <w:r>
        <w:rPr>
          <w:rFonts w:ascii="仿宋_GB2312" w:hAnsi="仿宋_GB2312" w:eastAsia="仿宋_GB2312" w:cs="宋体"/>
          <w:color w:val="auto"/>
          <w:kern w:val="1"/>
          <w:sz w:val="32"/>
          <w:szCs w:val="32"/>
        </w:rPr>
        <w:t>日内向出租方支付下期租金。</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3.租金递增率：无递增;</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4.履约保证金：</w:t>
      </w:r>
      <w:r>
        <w:rPr>
          <w:rFonts w:hint="eastAsia" w:ascii="仿宋_GB2312" w:hAnsi="仿宋_GB2312" w:eastAsia="仿宋_GB2312" w:cs="仿宋_GB2312"/>
          <w:color w:val="auto"/>
          <w:kern w:val="0"/>
          <w:sz w:val="32"/>
          <w:szCs w:val="32"/>
          <w:lang w:eastAsia="zh-CN"/>
        </w:rPr>
        <w:t>三</w:t>
      </w:r>
      <w:r>
        <w:rPr>
          <w:rFonts w:hint="eastAsia" w:ascii="仿宋_GB2312" w:hAnsi="仿宋_GB2312" w:eastAsia="仿宋_GB2312" w:cs="仿宋_GB2312"/>
          <w:color w:val="auto"/>
          <w:kern w:val="0"/>
          <w:sz w:val="32"/>
          <w:szCs w:val="32"/>
        </w:rPr>
        <w:t>个月月租金金额;</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5.装修免租期：无;</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6.竞租方式：企业自行组织公开招租</w:t>
      </w:r>
      <w:r>
        <w:rPr>
          <w:rFonts w:hint="eastAsia" w:ascii="仿宋_GB2312" w:hAnsi="仿宋_GB2312" w:eastAsia="仿宋_GB2312" w:cs="仿宋_GB2312"/>
          <w:color w:val="auto"/>
          <w:sz w:val="32"/>
          <w:szCs w:val="32"/>
        </w:rPr>
        <w:t>。（采用密封式一次性报价的方式，由报价最高的一方中标，低于租赁底价的报价视为无效报价）。</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四、承租方应具备的基本条件：</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1、自然人或企事业单位，无不良信用记录者方可参与竞价；</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2、资信良好，能严格按照房屋租赁合同约定履行的具有独立法人资格且有效续存的境内外法人或分支机构，以及具有完全民事行为能力的自然人。</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3、与福建省盐业集团有限责任公司及权属单位曾有租赁关系但有违约行为的不能参加竞租。</w:t>
      </w:r>
    </w:p>
    <w:p>
      <w:pPr>
        <w:spacing w:line="579"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4、竞租人未被列入全国法院失信被执行人名单。竞租人无涉及诉讼案件。</w:t>
      </w:r>
    </w:p>
    <w:p>
      <w:pPr>
        <w:spacing w:line="579" w:lineRule="exact"/>
        <w:ind w:firstLine="640" w:firstLineChars="200"/>
        <w:rPr>
          <w:rFonts w:ascii="黑体" w:hAnsi="黑体" w:eastAsia="黑体" w:cs="黑体"/>
          <w:color w:val="auto"/>
          <w:kern w:val="0"/>
          <w:sz w:val="32"/>
          <w:szCs w:val="32"/>
        </w:rPr>
      </w:pPr>
      <w:r>
        <w:rPr>
          <w:rFonts w:hint="eastAsia" w:ascii="黑体" w:hAnsi="黑体" w:eastAsia="黑体" w:cs="黑体"/>
          <w:color w:val="auto"/>
          <w:kern w:val="0"/>
          <w:sz w:val="32"/>
          <w:szCs w:val="32"/>
        </w:rPr>
        <w:t>五、承租方须接受的承租条件</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（一）租赁标的以现状出租，竞租者自行查勘现场，并自行承担查勘过程的一切费用，全部承担查勘中任何因未全面了解或误解现场实际状况而导致的一切后果。</w:t>
      </w:r>
      <w:r>
        <w:rPr>
          <w:rFonts w:hint="eastAsia" w:ascii="仿宋" w:hAnsi="仿宋" w:eastAsia="仿宋" w:cs="仿宋"/>
          <w:color w:val="auto"/>
          <w:sz w:val="32"/>
          <w:szCs w:val="32"/>
        </w:rPr>
        <w:t>承租方不得将房屋转租、转借他人或与第三人调换使用，否则视为违约，出租方有权提前终止合同，承租方已缴纳的租金和履约保证金不予退还，出租方无条件收回租赁房屋，并由承租方赔偿因此造成出租方的直接及间接损失。</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（二）房屋租赁合同生效期内，承租方若需对租赁物进行装修改造，需向出租方提出申请并通过，未经出租方书面同意，不得擅自改变租赁物</w:t>
      </w:r>
      <w:r>
        <w:rPr>
          <w:rFonts w:hint="eastAsia" w:ascii="仿宋_GB2312" w:hAnsi="宋体" w:eastAsia="仿宋_GB2312"/>
          <w:color w:val="auto"/>
          <w:sz w:val="32"/>
          <w:szCs w:val="32"/>
        </w:rPr>
        <w:t>的外观、主体结构或任何附属设施。</w:t>
      </w:r>
      <w:r>
        <w:rPr>
          <w:rFonts w:hint="eastAsia" w:ascii="仿宋_GB2312" w:hAnsi="仿宋_GB2312" w:eastAsia="仿宋_GB2312" w:cs="仿宋_GB2312"/>
          <w:color w:val="auto"/>
          <w:sz w:val="32"/>
          <w:szCs w:val="32"/>
        </w:rPr>
        <w:t>在出租方同意后方可执行，且承诺在《房屋租赁合同》到期或退租后10日内无条件将租赁物内结构恢复原样交还给我方。承租方如因故意或重大过失造成租赁物及其设备的毁损，应负责恢复原状，如不能恢复，出租方有权扣除履约保证金，履约保证金不足以弥补出租方损失的，出租方有权要求承租方给予赔偿。</w:t>
      </w:r>
    </w:p>
    <w:p>
      <w:pPr>
        <w:adjustRightInd w:val="0"/>
        <w:snapToGrid w:val="0"/>
        <w:spacing w:line="579" w:lineRule="exact"/>
        <w:ind w:right="61"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（三）</w:t>
      </w:r>
      <w:r>
        <w:rPr>
          <w:rFonts w:ascii="仿宋_GB2312" w:hAnsi="宋体" w:eastAsia="仿宋_GB2312"/>
          <w:color w:val="auto"/>
          <w:sz w:val="32"/>
          <w:szCs w:val="32"/>
        </w:rPr>
        <w:t>承租方应在成交结果公示结束次日起</w:t>
      </w:r>
      <w:r>
        <w:rPr>
          <w:rFonts w:hint="eastAsia" w:ascii="仿宋_GB2312" w:hAnsi="宋体" w:eastAsia="仿宋_GB2312"/>
          <w:color w:val="auto"/>
          <w:sz w:val="32"/>
          <w:szCs w:val="32"/>
        </w:rPr>
        <w:t>五</w:t>
      </w:r>
      <w:r>
        <w:rPr>
          <w:rFonts w:ascii="仿宋_GB2312" w:hAnsi="宋体" w:eastAsia="仿宋_GB2312"/>
          <w:color w:val="auto"/>
          <w:sz w:val="32"/>
          <w:szCs w:val="32"/>
        </w:rPr>
        <w:t>个工作日内与</w:t>
      </w:r>
      <w:r>
        <w:rPr>
          <w:rFonts w:hint="eastAsia" w:ascii="仿宋_GB2312" w:hAnsi="宋体" w:eastAsia="仿宋_GB2312"/>
          <w:color w:val="auto"/>
          <w:sz w:val="32"/>
          <w:szCs w:val="32"/>
        </w:rPr>
        <w:t>出</w:t>
      </w:r>
      <w:r>
        <w:rPr>
          <w:rFonts w:ascii="仿宋_GB2312" w:hAnsi="宋体" w:eastAsia="仿宋_GB2312"/>
          <w:color w:val="auto"/>
          <w:sz w:val="32"/>
          <w:szCs w:val="32"/>
        </w:rPr>
        <w:t>租方签订</w:t>
      </w:r>
      <w:bookmarkStart w:id="0" w:name="_Hlk137156700"/>
      <w:r>
        <w:rPr>
          <w:rFonts w:hint="eastAsia" w:ascii="仿宋_GB2312" w:hAnsi="宋体" w:eastAsia="仿宋_GB2312"/>
          <w:color w:val="auto"/>
          <w:sz w:val="32"/>
          <w:szCs w:val="32"/>
        </w:rPr>
        <w:t>《房屋租赁合同》</w:t>
      </w:r>
      <w:bookmarkEnd w:id="0"/>
      <w:r>
        <w:rPr>
          <w:rFonts w:hint="eastAsia" w:ascii="仿宋_GB2312" w:hAnsi="宋体" w:eastAsia="仿宋_GB2312"/>
          <w:color w:val="auto"/>
          <w:sz w:val="32"/>
          <w:szCs w:val="32"/>
        </w:rPr>
        <w:t>，按时缴</w:t>
      </w:r>
      <w:r>
        <w:rPr>
          <w:rFonts w:ascii="仿宋_GB2312" w:hAnsi="宋体" w:eastAsia="仿宋_GB2312"/>
          <w:color w:val="auto"/>
          <w:sz w:val="32"/>
          <w:szCs w:val="32"/>
        </w:rPr>
        <w:t>纳首</w:t>
      </w:r>
      <w:r>
        <w:rPr>
          <w:rFonts w:hint="eastAsia" w:ascii="仿宋_GB2312" w:hAnsi="宋体" w:eastAsia="仿宋_GB2312"/>
          <w:color w:val="auto"/>
          <w:sz w:val="32"/>
          <w:szCs w:val="32"/>
        </w:rPr>
        <w:t>期一个月的</w:t>
      </w:r>
      <w:r>
        <w:rPr>
          <w:rFonts w:ascii="仿宋_GB2312" w:hAnsi="宋体" w:eastAsia="仿宋_GB2312"/>
          <w:color w:val="auto"/>
          <w:sz w:val="32"/>
          <w:szCs w:val="32"/>
        </w:rPr>
        <w:t>租金</w:t>
      </w:r>
      <w:r>
        <w:rPr>
          <w:rFonts w:hint="eastAsia" w:ascii="仿宋_GB2312" w:hAnsi="宋体" w:eastAsia="仿宋_GB2312"/>
          <w:color w:val="auto"/>
          <w:sz w:val="32"/>
          <w:szCs w:val="32"/>
        </w:rPr>
        <w:t>及四个月租金金额的履约保证金</w:t>
      </w:r>
      <w:r>
        <w:rPr>
          <w:rFonts w:ascii="仿宋_GB2312" w:hAnsi="宋体" w:eastAsia="仿宋_GB2312"/>
          <w:color w:val="auto"/>
          <w:sz w:val="32"/>
          <w:szCs w:val="32"/>
        </w:rPr>
        <w:t>至出租方指定的账户（收款人名称：福建省</w:t>
      </w:r>
      <w:r>
        <w:rPr>
          <w:rFonts w:hint="eastAsia" w:ascii="仿宋_GB2312" w:hAnsi="宋体" w:eastAsia="仿宋_GB2312"/>
          <w:color w:val="auto"/>
          <w:sz w:val="32"/>
          <w:szCs w:val="32"/>
        </w:rPr>
        <w:t>南平盐业</w:t>
      </w:r>
      <w:r>
        <w:rPr>
          <w:rFonts w:ascii="仿宋_GB2312" w:hAnsi="宋体" w:eastAsia="仿宋_GB2312"/>
          <w:color w:val="auto"/>
          <w:sz w:val="32"/>
          <w:szCs w:val="32"/>
        </w:rPr>
        <w:t>有限</w:t>
      </w:r>
      <w:r>
        <w:rPr>
          <w:rFonts w:hint="eastAsia" w:ascii="仿宋_GB2312" w:hAnsi="宋体" w:eastAsia="仿宋_GB2312"/>
          <w:color w:val="auto"/>
          <w:sz w:val="32"/>
          <w:szCs w:val="32"/>
        </w:rPr>
        <w:t>责任</w:t>
      </w:r>
      <w:r>
        <w:rPr>
          <w:rFonts w:ascii="仿宋_GB2312" w:hAnsi="宋体" w:eastAsia="仿宋_GB2312"/>
          <w:color w:val="auto"/>
          <w:sz w:val="32"/>
          <w:szCs w:val="32"/>
        </w:rPr>
        <w:t>公司</w:t>
      </w:r>
      <w:r>
        <w:rPr>
          <w:rFonts w:hint="eastAsia" w:ascii="仿宋_GB2312" w:hAnsi="宋体" w:eastAsia="仿宋_GB2312"/>
          <w:color w:val="auto"/>
          <w:sz w:val="32"/>
          <w:szCs w:val="32"/>
        </w:rPr>
        <w:t>，</w:t>
      </w:r>
      <w:r>
        <w:rPr>
          <w:rFonts w:ascii="仿宋_GB2312" w:hAnsi="宋体" w:eastAsia="仿宋_GB2312"/>
          <w:color w:val="auto"/>
          <w:sz w:val="32"/>
          <w:szCs w:val="32"/>
        </w:rPr>
        <w:t>开户行：工行</w:t>
      </w:r>
      <w:r>
        <w:rPr>
          <w:rFonts w:hint="eastAsia" w:ascii="仿宋_GB2312" w:hAnsi="宋体" w:eastAsia="仿宋_GB2312"/>
          <w:color w:val="auto"/>
          <w:sz w:val="32"/>
          <w:szCs w:val="32"/>
        </w:rPr>
        <w:t>南平延平</w:t>
      </w:r>
      <w:r>
        <w:rPr>
          <w:rFonts w:ascii="仿宋_GB2312" w:hAnsi="宋体" w:eastAsia="仿宋_GB2312"/>
          <w:color w:val="auto"/>
          <w:sz w:val="32"/>
          <w:szCs w:val="32"/>
        </w:rPr>
        <w:t>支行</w:t>
      </w:r>
      <w:r>
        <w:rPr>
          <w:rFonts w:hint="eastAsia" w:ascii="仿宋_GB2312" w:hAnsi="宋体" w:eastAsia="仿宋_GB2312"/>
          <w:color w:val="auto"/>
          <w:sz w:val="32"/>
          <w:szCs w:val="32"/>
        </w:rPr>
        <w:t>，</w:t>
      </w:r>
      <w:r>
        <w:rPr>
          <w:rFonts w:ascii="仿宋_GB2312" w:hAnsi="宋体" w:eastAsia="仿宋_GB2312"/>
          <w:color w:val="auto"/>
          <w:sz w:val="32"/>
          <w:szCs w:val="32"/>
        </w:rPr>
        <w:t>账号：</w:t>
      </w:r>
      <w:r>
        <w:rPr>
          <w:rFonts w:hint="eastAsia" w:ascii="仿宋_GB2312" w:hAnsi="宋体" w:eastAsia="仿宋_GB2312"/>
          <w:color w:val="auto"/>
          <w:sz w:val="32"/>
          <w:szCs w:val="32"/>
        </w:rPr>
        <w:t>1406041619009312566</w:t>
      </w:r>
      <w:r>
        <w:rPr>
          <w:rFonts w:ascii="仿宋_GB2312" w:hAnsi="宋体" w:eastAsia="仿宋_GB2312"/>
          <w:color w:val="auto"/>
          <w:sz w:val="32"/>
          <w:szCs w:val="32"/>
        </w:rPr>
        <w:t>），</w:t>
      </w:r>
      <w:r>
        <w:rPr>
          <w:rFonts w:hint="eastAsia" w:ascii="仿宋_GB2312" w:hAnsi="宋体" w:eastAsia="仿宋_GB2312"/>
          <w:color w:val="auto"/>
          <w:sz w:val="32"/>
          <w:szCs w:val="32"/>
        </w:rPr>
        <w:t>如承租方未及时缴纳履约保证金及第一期租金的，</w:t>
      </w:r>
      <w:r>
        <w:rPr>
          <w:rFonts w:ascii="仿宋_GB2312" w:hAnsi="宋体" w:eastAsia="仿宋_GB2312"/>
          <w:color w:val="auto"/>
          <w:sz w:val="32"/>
          <w:szCs w:val="32"/>
        </w:rPr>
        <w:t>竞</w:t>
      </w:r>
      <w:r>
        <w:rPr>
          <w:rFonts w:hint="eastAsia" w:ascii="仿宋_GB2312" w:hAnsi="宋体" w:eastAsia="仿宋_GB2312"/>
          <w:color w:val="auto"/>
          <w:sz w:val="32"/>
          <w:szCs w:val="32"/>
        </w:rPr>
        <w:t>租</w:t>
      </w:r>
      <w:r>
        <w:rPr>
          <w:rFonts w:ascii="仿宋_GB2312" w:hAnsi="宋体" w:eastAsia="仿宋_GB2312"/>
          <w:color w:val="auto"/>
          <w:sz w:val="32"/>
          <w:szCs w:val="32"/>
        </w:rPr>
        <w:t>保证金不予返还。</w:t>
      </w:r>
    </w:p>
    <w:p>
      <w:pPr>
        <w:pStyle w:val="2"/>
        <w:ind w:firstLine="640" w:firstLineChars="200"/>
        <w:rPr>
          <w:color w:val="auto"/>
        </w:rPr>
      </w:pPr>
      <w:r>
        <w:rPr>
          <w:rFonts w:hint="eastAsia" w:ascii="仿宋_GB2312" w:hAnsi="宋体" w:eastAsia="仿宋_GB2312"/>
          <w:color w:val="auto"/>
          <w:sz w:val="32"/>
          <w:szCs w:val="32"/>
        </w:rPr>
        <w:t>（四）其他必须接受的条件详见《房屋租赁合同》，产权所有人拥有最终解释权。</w:t>
      </w:r>
    </w:p>
    <w:p>
      <w:pPr>
        <w:widowControl/>
        <w:spacing w:line="270" w:lineRule="atLeast"/>
        <w:ind w:firstLine="640" w:firstLineChars="200"/>
        <w:jc w:val="left"/>
        <w:rPr>
          <w:rFonts w:ascii="黑体" w:hAnsi="黑体" w:eastAsia="黑体" w:cs="黑体"/>
          <w:color w:val="auto"/>
          <w:sz w:val="32"/>
          <w:szCs w:val="32"/>
        </w:rPr>
      </w:pPr>
      <w:r>
        <w:rPr>
          <w:rFonts w:hint="eastAsia" w:ascii="黑体" w:hAnsi="黑体" w:eastAsia="黑体" w:cs="黑体"/>
          <w:color w:val="auto"/>
          <w:sz w:val="32"/>
          <w:szCs w:val="32"/>
        </w:rPr>
        <w:t>六、竞租保证金：人民币0.5万元。</w:t>
      </w:r>
    </w:p>
    <w:p>
      <w:pPr>
        <w:widowControl/>
        <w:spacing w:line="540" w:lineRule="exact"/>
        <w:ind w:firstLine="627" w:firstLineChars="196"/>
        <w:jc w:val="left"/>
        <w:rPr>
          <w:rFonts w:ascii="仿宋_GB2312" w:hAnsi="宋体" w:eastAsia="仿宋_GB2312"/>
          <w:color w:val="auto"/>
          <w:sz w:val="32"/>
          <w:szCs w:val="32"/>
        </w:rPr>
      </w:pPr>
      <w:r>
        <w:rPr>
          <w:rFonts w:hint="eastAsia" w:ascii="仿宋_GB2312" w:hAnsi="宋体" w:eastAsia="仿宋_GB2312"/>
          <w:color w:val="auto"/>
          <w:sz w:val="32"/>
          <w:szCs w:val="32"/>
        </w:rPr>
        <w:t>承租方逾期未与福建省南平盐业有限责任公司签订《成交结果确认书》，未于中标后5个工作日内与福建省南平盐业有限责任公司签订《房屋租赁合同》等材料、缴交履约保证金及第一期租金，福建省南平盐业有限责任公司按违约处理，并视情对标的再次处理，竞租保证金不予退回，且《成交结果确认书》自行失效，并根据有关法律法规，福建省南平盐业有限责任公司保留向该中标人提起赔偿诉讼的权利。</w:t>
      </w:r>
    </w:p>
    <w:p>
      <w:pPr>
        <w:spacing w:line="360" w:lineRule="auto"/>
        <w:ind w:firstLine="640" w:firstLineChars="200"/>
        <w:jc w:val="left"/>
        <w:rPr>
          <w:rFonts w:ascii="仿宋" w:hAnsi="仿宋" w:eastAsia="仿宋"/>
          <w:color w:val="auto"/>
          <w:sz w:val="32"/>
          <w:szCs w:val="32"/>
        </w:rPr>
      </w:pPr>
      <w:r>
        <w:rPr>
          <w:rFonts w:hint="eastAsia" w:ascii="黑体" w:hAnsi="黑体" w:eastAsia="黑体" w:cs="黑体"/>
          <w:color w:val="auto"/>
          <w:sz w:val="32"/>
          <w:szCs w:val="32"/>
        </w:rPr>
        <w:t>七、公告信息：</w:t>
      </w:r>
      <w:r>
        <w:rPr>
          <w:rFonts w:hint="eastAsia" w:ascii="仿宋" w:hAnsi="仿宋" w:eastAsia="仿宋"/>
          <w:color w:val="auto"/>
          <w:sz w:val="32"/>
          <w:szCs w:val="32"/>
        </w:rPr>
        <w:t>福建省产权交易信息网(</w:t>
      </w:r>
      <w:r>
        <w:rPr>
          <w:rFonts w:ascii="仿宋" w:hAnsi="仿宋" w:eastAsia="仿宋"/>
          <w:color w:val="auto"/>
          <w:sz w:val="32"/>
          <w:szCs w:val="32"/>
        </w:rPr>
        <w:t>www.fjcqjy.com</w:t>
      </w:r>
    </w:p>
    <w:p>
      <w:pPr>
        <w:widowControl/>
        <w:spacing w:line="270" w:lineRule="atLeast"/>
        <w:ind w:firstLine="640" w:firstLineChars="200"/>
        <w:jc w:val="left"/>
        <w:rPr>
          <w:rFonts w:ascii="仿宋_GB2312" w:hAnsi="宋体" w:eastAsia="仿宋_GB2312" w:cs="宋体"/>
          <w:b/>
          <w:bCs/>
          <w:color w:val="auto"/>
          <w:kern w:val="0"/>
          <w:sz w:val="32"/>
          <w:szCs w:val="32"/>
        </w:rPr>
      </w:pPr>
      <w:r>
        <w:rPr>
          <w:rFonts w:hint="eastAsia" w:ascii="仿宋" w:hAnsi="仿宋" w:eastAsia="仿宋"/>
          <w:color w:val="auto"/>
          <w:sz w:val="32"/>
          <w:szCs w:val="32"/>
        </w:rPr>
        <w:t>)、</w:t>
      </w:r>
      <w:r>
        <w:rPr>
          <w:rFonts w:hint="eastAsia" w:ascii="仿宋_GB2312" w:hAnsi="宋体" w:eastAsia="仿宋_GB2312" w:cs="宋体"/>
          <w:color w:val="auto"/>
          <w:kern w:val="0"/>
          <w:sz w:val="32"/>
          <w:szCs w:val="32"/>
        </w:rPr>
        <w:t>福建省盐业集团有限责任公司网站（http://www.fjsalt.com/）、南平市延平区</w:t>
      </w:r>
      <w:r>
        <w:rPr>
          <w:rFonts w:hint="eastAsia" w:ascii="仿宋_GB2312" w:hAnsi="宋体" w:eastAsia="仿宋_GB2312" w:cs="宋体"/>
          <w:color w:val="auto"/>
          <w:kern w:val="0"/>
          <w:sz w:val="32"/>
          <w:szCs w:val="32"/>
          <w:lang w:eastAsia="zh-CN"/>
        </w:rPr>
        <w:t>大同里</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号周边、南平盐业公司大楼周边、58同城等网站发布招租公告等。</w:t>
      </w:r>
    </w:p>
    <w:p>
      <w:pPr>
        <w:spacing w:line="579" w:lineRule="exact"/>
        <w:ind w:firstLine="640" w:firstLineChars="200"/>
        <w:rPr>
          <w:rFonts w:ascii="仿宋_GB2312" w:hAnsi="宋体" w:eastAsia="仿宋_GB2312" w:cs="宋体"/>
          <w:color w:val="auto"/>
          <w:kern w:val="0"/>
          <w:sz w:val="32"/>
          <w:szCs w:val="32"/>
        </w:rPr>
      </w:pPr>
      <w:r>
        <w:rPr>
          <w:rFonts w:hint="eastAsia" w:ascii="黑体" w:hAnsi="黑体" w:eastAsia="黑体" w:cs="黑体"/>
          <w:color w:val="auto"/>
          <w:sz w:val="32"/>
          <w:szCs w:val="32"/>
        </w:rPr>
        <w:t>八、公告期限：</w:t>
      </w:r>
      <w:r>
        <w:rPr>
          <w:rFonts w:hint="eastAsia" w:ascii="仿宋_GB2312" w:hAnsi="宋体" w:eastAsia="仿宋_GB2312" w:cs="宋体"/>
          <w:color w:val="auto"/>
          <w:kern w:val="0"/>
          <w:sz w:val="32"/>
          <w:szCs w:val="32"/>
        </w:rPr>
        <w:t>2023年</w:t>
      </w:r>
      <w:r>
        <w:rPr>
          <w:rFonts w:hint="eastAsia" w:ascii="仿宋_GB2312" w:hAnsi="宋体" w:eastAsia="仿宋_GB2312" w:cs="宋体"/>
          <w:color w:val="auto"/>
          <w:kern w:val="0"/>
          <w:sz w:val="32"/>
          <w:szCs w:val="32"/>
          <w:lang w:val="en-US" w:eastAsia="zh-CN"/>
        </w:rPr>
        <w:t>11</w:t>
      </w:r>
      <w:r>
        <w:rPr>
          <w:rFonts w:hint="eastAsia" w:ascii="仿宋_GB2312" w:hAnsi="宋体" w:eastAsia="仿宋_GB2312" w:cs="宋体"/>
          <w:color w:val="auto"/>
          <w:kern w:val="0"/>
          <w:sz w:val="32"/>
          <w:szCs w:val="32"/>
        </w:rPr>
        <w:t>月</w:t>
      </w:r>
      <w:r>
        <w:rPr>
          <w:rFonts w:hint="eastAsia" w:ascii="仿宋_GB2312" w:hAnsi="宋体" w:eastAsia="仿宋_GB2312" w:cs="宋体"/>
          <w:color w:val="auto"/>
          <w:kern w:val="0"/>
          <w:sz w:val="32"/>
          <w:szCs w:val="32"/>
          <w:lang w:val="en-US" w:eastAsia="zh-CN"/>
        </w:rPr>
        <w:t>27</w:t>
      </w:r>
      <w:r>
        <w:rPr>
          <w:rFonts w:hint="eastAsia" w:ascii="仿宋_GB2312" w:hAnsi="宋体" w:eastAsia="仿宋_GB2312" w:cs="宋体"/>
          <w:color w:val="auto"/>
          <w:kern w:val="0"/>
          <w:sz w:val="32"/>
          <w:szCs w:val="32"/>
        </w:rPr>
        <w:t>日—2023年</w:t>
      </w:r>
      <w:r>
        <w:rPr>
          <w:rFonts w:hint="eastAsia" w:ascii="仿宋_GB2312" w:hAnsi="宋体" w:eastAsia="仿宋_GB2312" w:cs="宋体"/>
          <w:color w:val="auto"/>
          <w:kern w:val="0"/>
          <w:sz w:val="32"/>
          <w:szCs w:val="32"/>
          <w:lang w:val="en-US" w:eastAsia="zh-CN"/>
        </w:rPr>
        <w:t>12</w:t>
      </w:r>
      <w:r>
        <w:rPr>
          <w:rFonts w:hint="eastAsia" w:ascii="仿宋_GB2312" w:hAnsi="宋体" w:eastAsia="仿宋_GB2312" w:cs="宋体"/>
          <w:color w:val="auto"/>
          <w:kern w:val="0"/>
          <w:sz w:val="32"/>
          <w:szCs w:val="32"/>
        </w:rPr>
        <w:t>月</w:t>
      </w:r>
      <w:r>
        <w:rPr>
          <w:rFonts w:hint="eastAsia" w:ascii="仿宋_GB2312" w:hAnsi="宋体" w:eastAsia="仿宋_GB2312" w:cs="宋体"/>
          <w:color w:val="auto"/>
          <w:kern w:val="0"/>
          <w:sz w:val="32"/>
          <w:szCs w:val="32"/>
          <w:lang w:val="en-US" w:eastAsia="zh-CN"/>
        </w:rPr>
        <w:t>15</w:t>
      </w:r>
      <w:bookmarkStart w:id="1" w:name="_GoBack"/>
      <w:bookmarkEnd w:id="1"/>
      <w:r>
        <w:rPr>
          <w:rFonts w:hint="eastAsia" w:ascii="仿宋_GB2312" w:hAnsi="宋体" w:eastAsia="仿宋_GB2312" w:cs="宋体"/>
          <w:color w:val="auto"/>
          <w:kern w:val="0"/>
          <w:sz w:val="32"/>
          <w:szCs w:val="32"/>
        </w:rPr>
        <w:t>日。（自招租公告正式对外张贴起15个工作日</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，意向承租方在公告期内到福建省南平盐业有限责任公司获取《竞价须知》）。</w:t>
      </w:r>
    </w:p>
    <w:p>
      <w:pPr>
        <w:widowControl/>
        <w:spacing w:line="579" w:lineRule="exact"/>
        <w:ind w:firstLine="640" w:firstLineChars="200"/>
        <w:jc w:val="left"/>
        <w:rPr>
          <w:rFonts w:ascii="仿宋_GB2312" w:hAnsi="宋体" w:eastAsia="仿宋_GB2312" w:cs="宋体"/>
          <w:color w:val="auto"/>
          <w:kern w:val="0"/>
          <w:sz w:val="32"/>
          <w:szCs w:val="32"/>
        </w:rPr>
      </w:pPr>
      <w:r>
        <w:rPr>
          <w:rFonts w:hint="eastAsia" w:ascii="黑体" w:hAnsi="黑体" w:eastAsia="黑体" w:cs="黑体"/>
          <w:color w:val="auto"/>
          <w:sz w:val="32"/>
          <w:szCs w:val="32"/>
        </w:rPr>
        <w:t>九、咨询电话</w:t>
      </w:r>
      <w:r>
        <w:rPr>
          <w:rFonts w:hint="eastAsia" w:ascii="仿宋_GB2312" w:hAnsi="宋体" w:eastAsia="仿宋_GB2312" w:cs="宋体"/>
          <w:b/>
          <w:bCs/>
          <w:color w:val="auto"/>
          <w:kern w:val="0"/>
          <w:sz w:val="32"/>
          <w:szCs w:val="32"/>
        </w:rPr>
        <w:t>：</w:t>
      </w:r>
      <w:r>
        <w:rPr>
          <w:rFonts w:hint="eastAsia" w:ascii="仿宋_GB2312" w:hAnsi="宋体" w:eastAsia="仿宋_GB2312" w:cs="宋体"/>
          <w:color w:val="auto"/>
          <w:kern w:val="0"/>
          <w:sz w:val="32"/>
          <w:szCs w:val="32"/>
        </w:rPr>
        <w:t>0599-8834157  联系人：陈先生</w:t>
      </w:r>
    </w:p>
    <w:p>
      <w:pPr>
        <w:widowControl/>
        <w:spacing w:line="579" w:lineRule="exact"/>
        <w:ind w:firstLine="1280" w:firstLineChars="400"/>
        <w:jc w:val="left"/>
        <w:rPr>
          <w:rFonts w:eastAsia="仿宋_GB2312"/>
          <w:color w:val="auto"/>
        </w:rPr>
      </w:pPr>
      <w:r>
        <w:rPr>
          <w:rFonts w:hint="eastAsia" w:ascii="黑体" w:hAnsi="黑体" w:eastAsia="黑体" w:cs="黑体"/>
          <w:color w:val="auto"/>
          <w:sz w:val="32"/>
          <w:szCs w:val="32"/>
        </w:rPr>
        <w:t>监督电话</w:t>
      </w:r>
      <w:r>
        <w:rPr>
          <w:rFonts w:hint="eastAsia" w:ascii="仿宋_GB2312" w:hAnsi="宋体" w:eastAsia="仿宋_GB2312" w:cs="宋体"/>
          <w:b/>
          <w:bCs/>
          <w:color w:val="auto"/>
          <w:kern w:val="0"/>
          <w:sz w:val="32"/>
          <w:szCs w:val="32"/>
        </w:rPr>
        <w:t>：</w:t>
      </w:r>
      <w:r>
        <w:rPr>
          <w:rFonts w:hint="eastAsia" w:ascii="仿宋_GB2312" w:hAnsi="宋体" w:eastAsia="仿宋_GB2312" w:cs="宋体"/>
          <w:color w:val="auto"/>
          <w:kern w:val="0"/>
          <w:sz w:val="32"/>
          <w:szCs w:val="32"/>
        </w:rPr>
        <w:t>0599-8834157  联系人：张先生</w:t>
      </w:r>
    </w:p>
    <w:p>
      <w:pPr>
        <w:widowControl/>
        <w:spacing w:line="579"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地址：福建省南平市延平区滨江中路553号盐业大楼</w:t>
      </w:r>
    </w:p>
    <w:p>
      <w:pPr>
        <w:spacing w:line="579"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spacing w:line="579" w:lineRule="exact"/>
        <w:ind w:firstLine="640" w:firstLineChars="200"/>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福建省南平盐业有限责任公司</w:t>
      </w:r>
    </w:p>
    <w:p>
      <w:pPr>
        <w:spacing w:line="579" w:lineRule="exact"/>
        <w:rPr>
          <w:color w:val="auto"/>
        </w:rPr>
      </w:pPr>
      <w:r>
        <w:rPr>
          <w:rFonts w:hint="eastAsia" w:ascii="仿宋_GB2312" w:hAnsi="仿宋_GB2312" w:eastAsia="仿宋_GB2312" w:cs="仿宋_GB2312"/>
          <w:color w:val="auto"/>
          <w:sz w:val="32"/>
          <w:szCs w:val="32"/>
        </w:rPr>
        <w:t xml:space="preserve">                                 2023年</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日</w:t>
      </w:r>
    </w:p>
    <w:sectPr>
      <w:footerReference r:id="rId3" w:type="default"/>
      <w:pgSz w:w="11906" w:h="16838"/>
      <w:pgMar w:top="2098" w:right="1474" w:bottom="1984" w:left="1587" w:header="851" w:footer="992" w:gutter="0"/>
      <w:pgNumType w:fmt="numberInDash"/>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posOffset>5331460</wp:posOffset>
              </wp:positionH>
              <wp:positionV relativeFrom="paragraph">
                <wp:posOffset>-133350</wp:posOffset>
              </wp:positionV>
              <wp:extent cx="1828800" cy="28067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280670"/>
                      </a:xfrm>
                      <a:prstGeom prst="rect">
                        <a:avLst/>
                      </a:prstGeom>
                      <a:noFill/>
                      <a:ln w="6350">
                        <a:noFill/>
                      </a:ln>
                      <a:effectLst/>
                    </wps:spPr>
                    <wps:txbx>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419.8pt;margin-top:-10.5pt;height:22.1pt;width:144pt;mso-position-horizontal-relative:margin;mso-wrap-style:none;z-index:251659264;mso-width-relative:page;mso-height-relative:page;" filled="f" stroked="f" coordsize="21600,21600" o:gfxdata="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YW5cJ2gAAAAsBAAAPAAAAAAAAAAEAIAAAACIAAABkcnMvZG93bnJl&#10;di54bWxQSwECFAAUAAAACACHTuJAvJxFgDQCAABiBAAADgAAAAAAAAABACAAAAApAQAAZHJzL2Uy&#10;b0RvYy54bWxQSwUGAAAAAAYABgBZAQAAzwUAAAAA&#10;">
              <v:fill on="f" focussize="0,0"/>
              <v:stroke on="f" weight="0.5pt"/>
              <v:imagedata o:title=""/>
              <o:lock v:ext="edit" aspectratio="f"/>
              <v:textbox inset="0mm,0mm,0mm,0mm">
                <w:txbxContent>
                  <w:p>
                    <w:pPr>
                      <w:pStyle w:val="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AD8B09"/>
    <w:multiLevelType w:val="singleLevel"/>
    <w:tmpl w:val="2CAD8B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ljYzUzMWQ4OWI0YzBkYjYzMDRhZTY5ZjZkYmFmYTgifQ=="/>
  </w:docVars>
  <w:rsids>
    <w:rsidRoot w:val="00172A27"/>
    <w:rsid w:val="000012E2"/>
    <w:rsid w:val="00172A27"/>
    <w:rsid w:val="00212F1C"/>
    <w:rsid w:val="009527D3"/>
    <w:rsid w:val="00D7121A"/>
    <w:rsid w:val="00ED21E7"/>
    <w:rsid w:val="00FA7FCE"/>
    <w:rsid w:val="01E430D3"/>
    <w:rsid w:val="036653D5"/>
    <w:rsid w:val="041753BF"/>
    <w:rsid w:val="043C2170"/>
    <w:rsid w:val="04897287"/>
    <w:rsid w:val="04A245D4"/>
    <w:rsid w:val="05515FCF"/>
    <w:rsid w:val="064316AF"/>
    <w:rsid w:val="06CA4E1A"/>
    <w:rsid w:val="089375DA"/>
    <w:rsid w:val="0927768B"/>
    <w:rsid w:val="09611B54"/>
    <w:rsid w:val="0B382737"/>
    <w:rsid w:val="0BB86D03"/>
    <w:rsid w:val="0D1E517A"/>
    <w:rsid w:val="0D4078F3"/>
    <w:rsid w:val="0D631C25"/>
    <w:rsid w:val="0D8717AC"/>
    <w:rsid w:val="0E24711A"/>
    <w:rsid w:val="0E4230B9"/>
    <w:rsid w:val="0E5445C1"/>
    <w:rsid w:val="0E690310"/>
    <w:rsid w:val="0E795357"/>
    <w:rsid w:val="0EFF1E49"/>
    <w:rsid w:val="0F613891"/>
    <w:rsid w:val="0F7B16C0"/>
    <w:rsid w:val="0FBE3DC6"/>
    <w:rsid w:val="10A479A7"/>
    <w:rsid w:val="11E51676"/>
    <w:rsid w:val="12321474"/>
    <w:rsid w:val="128649B1"/>
    <w:rsid w:val="12E07F24"/>
    <w:rsid w:val="136003A0"/>
    <w:rsid w:val="14007F05"/>
    <w:rsid w:val="140B45F7"/>
    <w:rsid w:val="14535B1A"/>
    <w:rsid w:val="14857118"/>
    <w:rsid w:val="14881943"/>
    <w:rsid w:val="14A446F2"/>
    <w:rsid w:val="14D967C0"/>
    <w:rsid w:val="150D6518"/>
    <w:rsid w:val="15176C8D"/>
    <w:rsid w:val="15F31ED7"/>
    <w:rsid w:val="166F1FB2"/>
    <w:rsid w:val="16D15DBB"/>
    <w:rsid w:val="17975773"/>
    <w:rsid w:val="1BB73E81"/>
    <w:rsid w:val="1C1517DE"/>
    <w:rsid w:val="1C952179"/>
    <w:rsid w:val="1CC506B6"/>
    <w:rsid w:val="1D1828AE"/>
    <w:rsid w:val="1E94282F"/>
    <w:rsid w:val="1EF421C2"/>
    <w:rsid w:val="20931235"/>
    <w:rsid w:val="23350ECD"/>
    <w:rsid w:val="23427BE5"/>
    <w:rsid w:val="25EF36B8"/>
    <w:rsid w:val="261E78D3"/>
    <w:rsid w:val="2A5102BF"/>
    <w:rsid w:val="2AB61FA4"/>
    <w:rsid w:val="2AE332DD"/>
    <w:rsid w:val="2B25018C"/>
    <w:rsid w:val="2B8952B3"/>
    <w:rsid w:val="2BA907A4"/>
    <w:rsid w:val="2BC01211"/>
    <w:rsid w:val="2BDA3939"/>
    <w:rsid w:val="2C107158"/>
    <w:rsid w:val="2C704A09"/>
    <w:rsid w:val="2C84508C"/>
    <w:rsid w:val="2D2C5A0E"/>
    <w:rsid w:val="2E4A75D4"/>
    <w:rsid w:val="2E5E4231"/>
    <w:rsid w:val="2E8C28D8"/>
    <w:rsid w:val="2EEF7391"/>
    <w:rsid w:val="2F1202BC"/>
    <w:rsid w:val="2FED56C3"/>
    <w:rsid w:val="300A52B3"/>
    <w:rsid w:val="30E45DF7"/>
    <w:rsid w:val="3142011E"/>
    <w:rsid w:val="31E05441"/>
    <w:rsid w:val="339958EB"/>
    <w:rsid w:val="35910D47"/>
    <w:rsid w:val="36ED0899"/>
    <w:rsid w:val="37E00CED"/>
    <w:rsid w:val="37FD7C8D"/>
    <w:rsid w:val="389C28F5"/>
    <w:rsid w:val="38E90167"/>
    <w:rsid w:val="3A8751F9"/>
    <w:rsid w:val="3A916DAC"/>
    <w:rsid w:val="3B5F7FEA"/>
    <w:rsid w:val="3B9F5DE6"/>
    <w:rsid w:val="3C724197"/>
    <w:rsid w:val="3D1A0790"/>
    <w:rsid w:val="3F1225B8"/>
    <w:rsid w:val="40BA2284"/>
    <w:rsid w:val="40D65C15"/>
    <w:rsid w:val="40DB31EA"/>
    <w:rsid w:val="41910DFC"/>
    <w:rsid w:val="41F764E2"/>
    <w:rsid w:val="423B7450"/>
    <w:rsid w:val="425A02AD"/>
    <w:rsid w:val="42A24743"/>
    <w:rsid w:val="43601E36"/>
    <w:rsid w:val="43C52246"/>
    <w:rsid w:val="449459FC"/>
    <w:rsid w:val="44A40ABD"/>
    <w:rsid w:val="462E4D5E"/>
    <w:rsid w:val="469A3B67"/>
    <w:rsid w:val="46BF00A6"/>
    <w:rsid w:val="46DA1505"/>
    <w:rsid w:val="47420C32"/>
    <w:rsid w:val="47643BE9"/>
    <w:rsid w:val="47862C6C"/>
    <w:rsid w:val="47994619"/>
    <w:rsid w:val="47F222DE"/>
    <w:rsid w:val="48025089"/>
    <w:rsid w:val="480A23AB"/>
    <w:rsid w:val="491D7293"/>
    <w:rsid w:val="4A5201A1"/>
    <w:rsid w:val="4A9E5488"/>
    <w:rsid w:val="4AA664C1"/>
    <w:rsid w:val="4AA7495B"/>
    <w:rsid w:val="4AB90662"/>
    <w:rsid w:val="4B4D4929"/>
    <w:rsid w:val="4B6542D8"/>
    <w:rsid w:val="4B726349"/>
    <w:rsid w:val="4CE30E5D"/>
    <w:rsid w:val="502E53C8"/>
    <w:rsid w:val="505826DD"/>
    <w:rsid w:val="50817AE0"/>
    <w:rsid w:val="50D927ED"/>
    <w:rsid w:val="50EB3C27"/>
    <w:rsid w:val="51101529"/>
    <w:rsid w:val="514B5BDA"/>
    <w:rsid w:val="52183B5F"/>
    <w:rsid w:val="533E7D1E"/>
    <w:rsid w:val="545A401B"/>
    <w:rsid w:val="547A5843"/>
    <w:rsid w:val="5566337A"/>
    <w:rsid w:val="56A570B5"/>
    <w:rsid w:val="56F86B5E"/>
    <w:rsid w:val="56F87CD7"/>
    <w:rsid w:val="57857148"/>
    <w:rsid w:val="58026A11"/>
    <w:rsid w:val="58BC7375"/>
    <w:rsid w:val="593254E5"/>
    <w:rsid w:val="5B021487"/>
    <w:rsid w:val="5B1605E4"/>
    <w:rsid w:val="5B374619"/>
    <w:rsid w:val="5C012EB9"/>
    <w:rsid w:val="5C4F616D"/>
    <w:rsid w:val="5D077D0D"/>
    <w:rsid w:val="5D6201F9"/>
    <w:rsid w:val="5D75228F"/>
    <w:rsid w:val="5E3E5842"/>
    <w:rsid w:val="5EDF3985"/>
    <w:rsid w:val="5F3834CB"/>
    <w:rsid w:val="5FB06671"/>
    <w:rsid w:val="600B2395"/>
    <w:rsid w:val="60867F4B"/>
    <w:rsid w:val="613E1425"/>
    <w:rsid w:val="620B52A2"/>
    <w:rsid w:val="624C65FF"/>
    <w:rsid w:val="62D47B57"/>
    <w:rsid w:val="633015DE"/>
    <w:rsid w:val="63455525"/>
    <w:rsid w:val="63D3323B"/>
    <w:rsid w:val="63FB7DD1"/>
    <w:rsid w:val="65D86CD0"/>
    <w:rsid w:val="65DC12EE"/>
    <w:rsid w:val="65DD59F3"/>
    <w:rsid w:val="68360D37"/>
    <w:rsid w:val="69047ECE"/>
    <w:rsid w:val="69C34D3F"/>
    <w:rsid w:val="69CD5199"/>
    <w:rsid w:val="6A381914"/>
    <w:rsid w:val="6B8C43AF"/>
    <w:rsid w:val="6BBB2C65"/>
    <w:rsid w:val="6D3046F1"/>
    <w:rsid w:val="6EA07908"/>
    <w:rsid w:val="6FE641B3"/>
    <w:rsid w:val="70286719"/>
    <w:rsid w:val="70865A59"/>
    <w:rsid w:val="71436306"/>
    <w:rsid w:val="714519B2"/>
    <w:rsid w:val="71580E81"/>
    <w:rsid w:val="730368ED"/>
    <w:rsid w:val="73EB627C"/>
    <w:rsid w:val="75181E96"/>
    <w:rsid w:val="754F27A2"/>
    <w:rsid w:val="75775013"/>
    <w:rsid w:val="76EE3D77"/>
    <w:rsid w:val="76F15AC0"/>
    <w:rsid w:val="785D74A8"/>
    <w:rsid w:val="79DB33B5"/>
    <w:rsid w:val="7A413D69"/>
    <w:rsid w:val="7AF241CD"/>
    <w:rsid w:val="7B545648"/>
    <w:rsid w:val="7B9C4AB9"/>
    <w:rsid w:val="7F037444"/>
    <w:rsid w:val="7F1B1C50"/>
    <w:rsid w:val="7FB03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szCs w:val="18"/>
    </w:rPr>
  </w:style>
  <w:style w:type="table" w:styleId="5">
    <w:name w:val="Table Grid"/>
    <w:basedOn w:val="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361</Words>
  <Characters>2063</Characters>
  <Lines>17</Lines>
  <Paragraphs>4</Paragraphs>
  <TotalTime>8</TotalTime>
  <ScaleCrop>false</ScaleCrop>
  <LinksUpToDate>false</LinksUpToDate>
  <CharactersWithSpaces>2420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2023-06-08T14:48:00Z</dcterms:created>
  <dc:creator>Windows7</dc:creator>
  <cp:lastModifiedBy>GuoLiang..</cp:lastModifiedBy>
  <dcterms:modified xsi:type="dcterms:W3CDTF">2023-11-27T02:28:15Z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FDBCA6F244244FDF8ACB8004B95B718F</vt:lpwstr>
  </property>
</Properties>
</file>